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F60" w:rsidRDefault="005F1F60" w:rsidP="005F1F60">
      <w:pPr>
        <w:tabs>
          <w:tab w:val="center" w:pos="4535"/>
          <w:tab w:val="right" w:pos="9070"/>
        </w:tabs>
        <w:spacing w:after="0" w:line="240" w:lineRule="auto"/>
        <w:ind w:right="227"/>
        <w:jc w:val="right"/>
        <w:rPr>
          <w:rFonts w:ascii="Arial" w:eastAsia="MS Mincho" w:hAnsi="Arial" w:cs="Arial"/>
          <w:b/>
          <w:noProof/>
          <w:color w:val="FF0000"/>
          <w:sz w:val="24"/>
          <w:szCs w:val="24"/>
          <w:lang w:eastAsia="hr-HR"/>
        </w:rPr>
      </w:pPr>
    </w:p>
    <w:p w:rsidR="00A701C3" w:rsidRPr="00B6740A" w:rsidRDefault="00A701C3" w:rsidP="00B6740A">
      <w:pPr>
        <w:spacing w:line="259" w:lineRule="auto"/>
        <w:jc w:val="right"/>
        <w:rPr>
          <w:rFonts w:ascii="CarolinaBar-B39-25F2" w:eastAsia="Calibri" w:hAnsi="CarolinaBar-B39-25F2" w:cs="Times New Roman"/>
          <w:sz w:val="32"/>
          <w:szCs w:val="32"/>
        </w:rPr>
      </w:pPr>
      <w:r w:rsidRPr="00A701C3">
        <w:rPr>
          <w:rFonts w:ascii="CarolinaBar-B39-25F2" w:eastAsia="Calibri" w:hAnsi="CarolinaBar-B39-25F2" w:cs="Times New Roman"/>
          <w:sz w:val="32"/>
          <w:szCs w:val="32"/>
        </w:rPr>
        <w:t>*P/</w:t>
      </w:r>
      <w:r w:rsidRPr="00A701C3">
        <w:rPr>
          <w:rFonts w:ascii="CarolinaBar-B39-25F2" w:eastAsia="Calibri" w:hAnsi="CarolinaBar-B39-25F2" w:cs="Times New Roman"/>
          <w:sz w:val="32"/>
          <w:szCs w:val="32"/>
        </w:rPr>
        <w:fldChar w:fldCharType="begin">
          <w:ffData>
            <w:name w:val="Jop1"/>
            <w:enabled/>
            <w:calcOnExit w:val="0"/>
            <w:textInput/>
          </w:ffData>
        </w:fldChar>
      </w:r>
      <w:bookmarkStart w:id="0" w:name="Jop1"/>
      <w:r w:rsidRPr="00A701C3">
        <w:rPr>
          <w:rFonts w:ascii="CarolinaBar-B39-25F2" w:eastAsia="Calibri" w:hAnsi="CarolinaBar-B39-25F2" w:cs="Times New Roman"/>
          <w:sz w:val="32"/>
          <w:szCs w:val="32"/>
        </w:rPr>
        <w:instrText xml:space="preserve"> FORMTEXT </w:instrText>
      </w:r>
      <w:r w:rsidRPr="00A701C3">
        <w:rPr>
          <w:rFonts w:ascii="CarolinaBar-B39-25F2" w:eastAsia="Calibri" w:hAnsi="CarolinaBar-B39-25F2" w:cs="Times New Roman"/>
          <w:sz w:val="32"/>
          <w:szCs w:val="32"/>
        </w:rPr>
      </w:r>
      <w:r w:rsidRPr="00A701C3">
        <w:rPr>
          <w:rFonts w:ascii="CarolinaBar-B39-25F2" w:eastAsia="Calibri" w:hAnsi="CarolinaBar-B39-25F2" w:cs="Times New Roman"/>
          <w:sz w:val="32"/>
          <w:szCs w:val="32"/>
        </w:rPr>
        <w:fldChar w:fldCharType="separate"/>
      </w:r>
      <w:r w:rsidRPr="00A701C3">
        <w:rPr>
          <w:rFonts w:ascii="CarolinaBar-B39-25F2" w:eastAsia="Calibri" w:hAnsi="CarolinaBar-B39-25F2" w:cs="Times New Roman"/>
          <w:sz w:val="32"/>
          <w:szCs w:val="32"/>
        </w:rPr>
        <w:t>10439533</w:t>
      </w:r>
      <w:r w:rsidRPr="00A701C3">
        <w:rPr>
          <w:rFonts w:ascii="CarolinaBar-B39-25F2" w:eastAsia="Calibri" w:hAnsi="CarolinaBar-B39-25F2" w:cs="Times New Roman"/>
          <w:sz w:val="32"/>
          <w:szCs w:val="32"/>
        </w:rPr>
        <w:fldChar w:fldCharType="end"/>
      </w:r>
      <w:bookmarkEnd w:id="0"/>
      <w:r w:rsidRPr="00A701C3">
        <w:rPr>
          <w:rFonts w:ascii="CarolinaBar-B39-25F2" w:eastAsia="Calibri" w:hAnsi="CarolinaBar-B39-25F2" w:cs="Times New Roman"/>
          <w:sz w:val="32"/>
          <w:szCs w:val="32"/>
        </w:rPr>
        <w:t>*</w:t>
      </w:r>
    </w:p>
    <w:p w:rsidR="005F1F60" w:rsidRPr="000E3D92" w:rsidRDefault="005F1F60" w:rsidP="005F1F60">
      <w:pPr>
        <w:tabs>
          <w:tab w:val="center" w:pos="4535"/>
          <w:tab w:val="right" w:pos="9070"/>
        </w:tabs>
        <w:spacing w:after="0" w:line="240" w:lineRule="auto"/>
        <w:ind w:right="227"/>
        <w:jc w:val="right"/>
        <w:rPr>
          <w:rFonts w:ascii="Arial" w:eastAsia="MS Mincho" w:hAnsi="Arial" w:cs="Arial"/>
          <w:b/>
          <w:noProof/>
          <w:color w:val="FF0000"/>
          <w:sz w:val="24"/>
          <w:szCs w:val="24"/>
          <w:lang w:eastAsia="hr-HR"/>
        </w:rPr>
      </w:pPr>
    </w:p>
    <w:p w:rsidR="005F1F60" w:rsidRPr="00430FB9" w:rsidRDefault="005F1F60" w:rsidP="00544EF1">
      <w:pPr>
        <w:tabs>
          <w:tab w:val="center" w:pos="4535"/>
          <w:tab w:val="right" w:pos="9070"/>
        </w:tabs>
        <w:spacing w:after="0" w:line="240" w:lineRule="auto"/>
        <w:ind w:right="227"/>
        <w:jc w:val="right"/>
        <w:rPr>
          <w:rFonts w:ascii="Arial" w:eastAsia="MS Mincho" w:hAnsi="Arial" w:cs="Arial"/>
          <w:b/>
          <w:noProof/>
          <w:sz w:val="24"/>
          <w:szCs w:val="24"/>
          <w:lang w:eastAsia="hr-HR"/>
        </w:rPr>
      </w:pPr>
      <w:r w:rsidRPr="00430FB9">
        <w:rPr>
          <w:rFonts w:ascii="Arial" w:eastAsia="MS Mincho" w:hAnsi="Arial" w:cs="Arial"/>
          <w:b/>
          <w:noProof/>
          <w:sz w:val="24"/>
          <w:szCs w:val="24"/>
          <w:lang w:eastAsia="hr-HR"/>
        </w:rPr>
        <w:t>OBJAVLJIVO</w:t>
      </w:r>
    </w:p>
    <w:p w:rsidR="00B6740A" w:rsidRDefault="00B6740A" w:rsidP="005F1F60">
      <w:pPr>
        <w:jc w:val="right"/>
        <w:rPr>
          <w:rFonts w:ascii="Arial" w:eastAsia="Calibri" w:hAnsi="Arial" w:cs="Arial"/>
          <w:b/>
          <w:sz w:val="24"/>
          <w:szCs w:val="24"/>
        </w:rPr>
      </w:pPr>
    </w:p>
    <w:p w:rsidR="00B6740A" w:rsidRDefault="00B6740A" w:rsidP="005F1F60">
      <w:pPr>
        <w:jc w:val="right"/>
        <w:rPr>
          <w:rFonts w:ascii="Arial" w:eastAsia="Calibri" w:hAnsi="Arial" w:cs="Arial"/>
          <w:b/>
          <w:sz w:val="24"/>
          <w:szCs w:val="24"/>
        </w:rPr>
      </w:pPr>
    </w:p>
    <w:p w:rsidR="005F1F60" w:rsidRDefault="005F1F60" w:rsidP="005F1F60">
      <w:pPr>
        <w:jc w:val="right"/>
        <w:rPr>
          <w:rFonts w:ascii="Arial" w:eastAsia="Calibri" w:hAnsi="Arial" w:cs="Arial"/>
          <w:lang w:val="it-IT"/>
        </w:rPr>
      </w:pPr>
      <w:r>
        <w:rPr>
          <w:rFonts w:ascii="Arial" w:eastAsia="Calibri" w:hAnsi="Arial" w:cs="Arial"/>
          <w:b/>
          <w:sz w:val="24"/>
          <w:szCs w:val="24"/>
        </w:rPr>
        <w:fldChar w:fldCharType="begin">
          <w:ffData>
            <w:name w:val="Tajnost1"/>
            <w:enabled/>
            <w:calcOnExit w:val="0"/>
            <w:textInput>
              <w:format w:val="Velika slova"/>
            </w:textInput>
          </w:ffData>
        </w:fldChar>
      </w:r>
      <w:bookmarkStart w:id="1" w:name="Tajnost1"/>
      <w:r>
        <w:rPr>
          <w:rFonts w:ascii="Arial" w:eastAsia="Calibri" w:hAnsi="Arial" w:cs="Arial"/>
          <w:b/>
          <w:sz w:val="24"/>
          <w:szCs w:val="24"/>
        </w:rPr>
        <w:instrText xml:space="preserve"> FORMTEXT </w:instrText>
      </w:r>
      <w:r w:rsidR="00590628">
        <w:rPr>
          <w:rFonts w:ascii="Arial" w:eastAsia="Calibri" w:hAnsi="Arial" w:cs="Arial"/>
          <w:b/>
          <w:sz w:val="24"/>
          <w:szCs w:val="24"/>
        </w:rPr>
      </w:r>
      <w:r w:rsidR="00590628">
        <w:rPr>
          <w:rFonts w:ascii="Arial" w:eastAsia="Calibri" w:hAnsi="Arial" w:cs="Arial"/>
          <w:b/>
          <w:sz w:val="24"/>
          <w:szCs w:val="24"/>
        </w:rPr>
        <w:fldChar w:fldCharType="separate"/>
      </w:r>
      <w:r>
        <w:fldChar w:fldCharType="end"/>
      </w:r>
      <w:bookmarkEnd w:id="1"/>
    </w:p>
    <w:p w:rsidR="005F1F60" w:rsidRDefault="005F1F60" w:rsidP="00BF651C">
      <w:pPr>
        <w:autoSpaceDE w:val="0"/>
        <w:autoSpaceDN w:val="0"/>
        <w:adjustRightInd w:val="0"/>
        <w:spacing w:after="0" w:line="240" w:lineRule="auto"/>
        <w:jc w:val="center"/>
        <w:rPr>
          <w:rFonts w:ascii="Arial" w:eastAsia="MS Mincho" w:hAnsi="Arial" w:cs="Arial"/>
          <w:b/>
          <w:sz w:val="32"/>
          <w:szCs w:val="32"/>
          <w:lang w:eastAsia="ja-JP"/>
        </w:rPr>
      </w:pPr>
      <w:r>
        <w:rPr>
          <w:rFonts w:ascii="Arial" w:eastAsia="MS Mincho" w:hAnsi="Arial" w:cs="Arial"/>
          <w:noProof/>
          <w:sz w:val="18"/>
          <w:szCs w:val="18"/>
          <w:lang w:eastAsia="hr-HR"/>
        </w:rPr>
        <w:drawing>
          <wp:inline distT="0" distB="0" distL="0" distR="0">
            <wp:extent cx="619125" cy="800100"/>
            <wp:effectExtent l="0" t="0" r="9525"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800100"/>
                    </a:xfrm>
                    <a:prstGeom prst="rect">
                      <a:avLst/>
                    </a:prstGeom>
                    <a:noFill/>
                    <a:ln>
                      <a:noFill/>
                    </a:ln>
                  </pic:spPr>
                </pic:pic>
              </a:graphicData>
            </a:graphic>
          </wp:inline>
        </w:drawing>
      </w:r>
    </w:p>
    <w:p w:rsidR="005F1F60" w:rsidRPr="00BF651C" w:rsidRDefault="005F1F60" w:rsidP="00BF651C">
      <w:pPr>
        <w:autoSpaceDE w:val="0"/>
        <w:autoSpaceDN w:val="0"/>
        <w:adjustRightInd w:val="0"/>
        <w:spacing w:after="0" w:line="240" w:lineRule="auto"/>
        <w:jc w:val="center"/>
        <w:rPr>
          <w:rFonts w:ascii="Arial" w:eastAsia="Calibri" w:hAnsi="Arial" w:cs="Arial"/>
          <w:b/>
          <w:sz w:val="32"/>
          <w:szCs w:val="32"/>
        </w:rPr>
      </w:pPr>
      <w:r w:rsidRPr="00BF651C">
        <w:rPr>
          <w:rFonts w:ascii="Arial" w:eastAsia="MS Mincho" w:hAnsi="Arial" w:cs="Arial"/>
          <w:b/>
          <w:sz w:val="32"/>
          <w:szCs w:val="32"/>
          <w:lang w:eastAsia="ja-JP"/>
        </w:rPr>
        <w:t>REPUBLIKA HRVATSKA</w:t>
      </w:r>
    </w:p>
    <w:p w:rsidR="00E45D78" w:rsidRPr="00BF651C" w:rsidRDefault="00BF651C" w:rsidP="00BF651C">
      <w:pPr>
        <w:tabs>
          <w:tab w:val="left" w:pos="8300"/>
        </w:tabs>
        <w:spacing w:after="0" w:line="240" w:lineRule="auto"/>
        <w:jc w:val="center"/>
        <w:rPr>
          <w:rFonts w:ascii="Arial" w:eastAsia="MS Mincho" w:hAnsi="Arial" w:cs="Arial"/>
          <w:b/>
          <w:sz w:val="32"/>
          <w:szCs w:val="32"/>
          <w:lang w:eastAsia="ja-JP"/>
        </w:rPr>
      </w:pPr>
      <w:r w:rsidRPr="00BF651C">
        <w:rPr>
          <w:rFonts w:ascii="Arial" w:eastAsia="MS Mincho" w:hAnsi="Arial" w:cs="Arial"/>
          <w:b/>
          <w:sz w:val="32"/>
          <w:szCs w:val="32"/>
          <w:lang w:eastAsia="ja-JP"/>
        </w:rPr>
        <w:t>MINISTARSTVA UNUTARNJIH POSLOVA</w:t>
      </w:r>
    </w:p>
    <w:p w:rsidR="00E45D78" w:rsidRPr="00BF651C" w:rsidRDefault="00E45D78" w:rsidP="00BF651C">
      <w:pPr>
        <w:tabs>
          <w:tab w:val="left" w:pos="8300"/>
        </w:tabs>
        <w:spacing w:after="0" w:line="240" w:lineRule="auto"/>
        <w:jc w:val="center"/>
        <w:rPr>
          <w:rFonts w:ascii="Arial" w:eastAsia="MS Mincho" w:hAnsi="Arial" w:cs="Arial"/>
          <w:b/>
          <w:sz w:val="32"/>
          <w:szCs w:val="32"/>
          <w:lang w:eastAsia="ja-JP"/>
        </w:rPr>
      </w:pPr>
    </w:p>
    <w:p w:rsidR="007477DE" w:rsidRDefault="007477DE" w:rsidP="00BF651C">
      <w:pPr>
        <w:tabs>
          <w:tab w:val="left" w:pos="8300"/>
        </w:tabs>
        <w:spacing w:after="0" w:line="240" w:lineRule="auto"/>
        <w:jc w:val="center"/>
        <w:rPr>
          <w:rFonts w:ascii="Arial" w:eastAsia="MS Mincho" w:hAnsi="Arial" w:cs="Arial"/>
          <w:b/>
          <w:sz w:val="48"/>
          <w:szCs w:val="48"/>
          <w:lang w:eastAsia="ja-JP"/>
        </w:rPr>
      </w:pPr>
    </w:p>
    <w:p w:rsidR="007477DE" w:rsidRDefault="007477DE" w:rsidP="00E45D78">
      <w:pPr>
        <w:tabs>
          <w:tab w:val="left" w:pos="8300"/>
        </w:tabs>
        <w:spacing w:after="0" w:line="240" w:lineRule="auto"/>
        <w:jc w:val="both"/>
        <w:rPr>
          <w:rFonts w:ascii="Arial" w:eastAsia="MS Mincho" w:hAnsi="Arial" w:cs="Arial"/>
          <w:b/>
          <w:sz w:val="48"/>
          <w:szCs w:val="48"/>
          <w:lang w:eastAsia="ja-JP"/>
        </w:rPr>
      </w:pPr>
    </w:p>
    <w:p w:rsidR="007477DE" w:rsidRDefault="007477DE" w:rsidP="00E45D78">
      <w:pPr>
        <w:tabs>
          <w:tab w:val="left" w:pos="8300"/>
        </w:tabs>
        <w:spacing w:after="0" w:line="240" w:lineRule="auto"/>
        <w:jc w:val="both"/>
        <w:rPr>
          <w:rFonts w:ascii="Arial" w:eastAsia="MS Mincho" w:hAnsi="Arial" w:cs="Arial"/>
          <w:b/>
          <w:sz w:val="48"/>
          <w:szCs w:val="48"/>
          <w:lang w:eastAsia="ja-JP"/>
        </w:rPr>
      </w:pPr>
    </w:p>
    <w:p w:rsidR="004430A7" w:rsidRDefault="004430A7" w:rsidP="00E45D78">
      <w:pPr>
        <w:tabs>
          <w:tab w:val="left" w:pos="8300"/>
        </w:tabs>
        <w:spacing w:after="0" w:line="240" w:lineRule="auto"/>
        <w:jc w:val="both"/>
        <w:rPr>
          <w:rFonts w:ascii="Arial" w:eastAsia="MS Mincho" w:hAnsi="Arial" w:cs="Arial"/>
          <w:b/>
          <w:sz w:val="48"/>
          <w:szCs w:val="48"/>
          <w:lang w:eastAsia="ja-JP"/>
        </w:rPr>
      </w:pPr>
    </w:p>
    <w:p w:rsidR="00E45D78" w:rsidRDefault="00E45D78" w:rsidP="00E45D78">
      <w:pPr>
        <w:tabs>
          <w:tab w:val="left" w:pos="8300"/>
        </w:tabs>
        <w:spacing w:after="0" w:line="240" w:lineRule="auto"/>
        <w:jc w:val="center"/>
        <w:rPr>
          <w:rFonts w:ascii="Arial" w:eastAsia="MS Mincho" w:hAnsi="Arial" w:cs="Arial"/>
          <w:b/>
          <w:sz w:val="48"/>
          <w:szCs w:val="48"/>
          <w:lang w:eastAsia="ja-JP"/>
        </w:rPr>
      </w:pPr>
    </w:p>
    <w:p w:rsidR="005F1F60" w:rsidRDefault="005F1F60" w:rsidP="00E45D78">
      <w:pPr>
        <w:tabs>
          <w:tab w:val="left" w:pos="8300"/>
        </w:tabs>
        <w:spacing w:after="0" w:line="240" w:lineRule="auto"/>
        <w:jc w:val="center"/>
        <w:rPr>
          <w:rFonts w:ascii="Arial" w:eastAsia="MS Mincho" w:hAnsi="Arial" w:cs="Arial"/>
          <w:b/>
          <w:sz w:val="48"/>
          <w:szCs w:val="48"/>
          <w:lang w:eastAsia="ja-JP"/>
        </w:rPr>
      </w:pPr>
      <w:r>
        <w:rPr>
          <w:rFonts w:ascii="Arial" w:eastAsia="MS Mincho" w:hAnsi="Arial" w:cs="Arial"/>
          <w:b/>
          <w:sz w:val="48"/>
          <w:szCs w:val="48"/>
          <w:lang w:eastAsia="ja-JP"/>
        </w:rPr>
        <w:t>GODIŠNJI PLAN RADA</w:t>
      </w:r>
    </w:p>
    <w:p w:rsidR="00544EF1" w:rsidRDefault="00544EF1" w:rsidP="00544EF1">
      <w:pPr>
        <w:tabs>
          <w:tab w:val="left" w:pos="8300"/>
        </w:tabs>
        <w:spacing w:after="0" w:line="240" w:lineRule="auto"/>
        <w:jc w:val="center"/>
        <w:rPr>
          <w:rFonts w:ascii="Arial" w:eastAsia="MS Mincho" w:hAnsi="Arial" w:cs="Arial"/>
          <w:b/>
          <w:sz w:val="40"/>
          <w:szCs w:val="40"/>
          <w:lang w:eastAsia="ja-JP"/>
        </w:rPr>
      </w:pPr>
    </w:p>
    <w:p w:rsidR="005F1F60" w:rsidRPr="00544EF1" w:rsidRDefault="00544EF1" w:rsidP="00544EF1">
      <w:pPr>
        <w:tabs>
          <w:tab w:val="left" w:pos="8300"/>
        </w:tabs>
        <w:spacing w:after="0" w:line="240" w:lineRule="auto"/>
        <w:jc w:val="center"/>
        <w:rPr>
          <w:rFonts w:ascii="Arial" w:eastAsia="MS Mincho" w:hAnsi="Arial" w:cs="Arial"/>
          <w:b/>
          <w:sz w:val="40"/>
          <w:szCs w:val="40"/>
          <w:lang w:eastAsia="ja-JP"/>
        </w:rPr>
      </w:pPr>
      <w:r w:rsidRPr="00544EF1">
        <w:rPr>
          <w:rFonts w:ascii="Arial" w:eastAsia="MS Mincho" w:hAnsi="Arial" w:cs="Arial"/>
          <w:b/>
          <w:sz w:val="40"/>
          <w:szCs w:val="40"/>
          <w:lang w:eastAsia="ja-JP"/>
        </w:rPr>
        <w:t xml:space="preserve"> </w:t>
      </w:r>
      <w:r w:rsidR="005F1F60" w:rsidRPr="00544EF1">
        <w:rPr>
          <w:rFonts w:ascii="Arial" w:eastAsia="MS Mincho" w:hAnsi="Arial" w:cs="Arial"/>
          <w:b/>
          <w:sz w:val="40"/>
          <w:szCs w:val="40"/>
          <w:lang w:eastAsia="ja-JP"/>
        </w:rPr>
        <w:t>ZA 202</w:t>
      </w:r>
      <w:r w:rsidR="002665D7">
        <w:rPr>
          <w:rFonts w:ascii="Arial" w:eastAsia="MS Mincho" w:hAnsi="Arial" w:cs="Arial"/>
          <w:b/>
          <w:sz w:val="40"/>
          <w:szCs w:val="40"/>
          <w:lang w:eastAsia="ja-JP"/>
        </w:rPr>
        <w:t>3</w:t>
      </w:r>
      <w:r w:rsidR="005F1F60" w:rsidRPr="00544EF1">
        <w:rPr>
          <w:rFonts w:ascii="Arial" w:eastAsia="MS Mincho" w:hAnsi="Arial" w:cs="Arial"/>
          <w:b/>
          <w:sz w:val="40"/>
          <w:szCs w:val="40"/>
          <w:lang w:eastAsia="ja-JP"/>
        </w:rPr>
        <w:t>. GODINU</w:t>
      </w:r>
    </w:p>
    <w:p w:rsidR="005F1F60" w:rsidRPr="00544EF1" w:rsidRDefault="005F1F60" w:rsidP="00E45D78">
      <w:pPr>
        <w:jc w:val="center"/>
        <w:rPr>
          <w:sz w:val="40"/>
          <w:szCs w:val="40"/>
        </w:rPr>
      </w:pPr>
    </w:p>
    <w:p w:rsidR="005F1F60" w:rsidRPr="00544EF1" w:rsidRDefault="005F1F60" w:rsidP="00E45D78">
      <w:pPr>
        <w:jc w:val="center"/>
        <w:rPr>
          <w:sz w:val="40"/>
          <w:szCs w:val="40"/>
        </w:rPr>
      </w:pPr>
    </w:p>
    <w:p w:rsidR="005F1F60" w:rsidRDefault="005F1F60" w:rsidP="005F1F60"/>
    <w:p w:rsidR="005F1F60" w:rsidRDefault="005F1F60" w:rsidP="005F1F60"/>
    <w:p w:rsidR="005F1F60" w:rsidRDefault="005F1F60" w:rsidP="005F1F60"/>
    <w:p w:rsidR="005F1F60" w:rsidRDefault="005F1F60" w:rsidP="005F1F60"/>
    <w:p w:rsidR="005F1F60" w:rsidRDefault="005F1F60" w:rsidP="005F1F60"/>
    <w:p w:rsidR="005F1F60" w:rsidRDefault="005F1F60" w:rsidP="005F1F60"/>
    <w:p w:rsidR="005F1F60" w:rsidRPr="000E3D92" w:rsidRDefault="00590EFE" w:rsidP="00E45D78">
      <w:pPr>
        <w:jc w:val="center"/>
        <w:rPr>
          <w:rFonts w:ascii="Arial" w:hAnsi="Arial" w:cs="Arial"/>
        </w:rPr>
      </w:pPr>
      <w:r>
        <w:rPr>
          <w:rFonts w:ascii="Arial" w:hAnsi="Arial" w:cs="Arial"/>
        </w:rPr>
        <w:t xml:space="preserve">Zagreb, </w:t>
      </w:r>
      <w:r w:rsidR="00E45D78" w:rsidRPr="000E3D92">
        <w:rPr>
          <w:rFonts w:ascii="Arial" w:hAnsi="Arial" w:cs="Arial"/>
        </w:rPr>
        <w:t>prosinac 202</w:t>
      </w:r>
      <w:r w:rsidR="002665D7">
        <w:rPr>
          <w:rFonts w:ascii="Arial" w:hAnsi="Arial" w:cs="Arial"/>
        </w:rPr>
        <w:t>2</w:t>
      </w:r>
      <w:r w:rsidR="00E45D78" w:rsidRPr="000E3D92">
        <w:rPr>
          <w:rFonts w:ascii="Arial" w:hAnsi="Arial" w:cs="Arial"/>
        </w:rPr>
        <w:t>.</w:t>
      </w:r>
    </w:p>
    <w:p w:rsidR="005F1F60" w:rsidRDefault="005F1F60" w:rsidP="005F1F60"/>
    <w:p w:rsidR="005F1F60" w:rsidRDefault="005F1F60" w:rsidP="005F1F60"/>
    <w:p w:rsidR="005F1F60" w:rsidRDefault="005F1F60" w:rsidP="005F1F60"/>
    <w:p w:rsidR="005F1F60" w:rsidRDefault="005F1F60" w:rsidP="005F1F60"/>
    <w:p w:rsidR="005F1F60" w:rsidRDefault="005F1F60" w:rsidP="005F1F60"/>
    <w:p w:rsidR="005F1F60" w:rsidRDefault="005F1F60" w:rsidP="005F1F60"/>
    <w:p w:rsidR="005F1F60" w:rsidRDefault="005F1F60" w:rsidP="005F1F60"/>
    <w:p w:rsidR="005F1F60" w:rsidRDefault="005F1F60" w:rsidP="005F1F60"/>
    <w:p w:rsidR="005F1F60" w:rsidRDefault="005F1F60" w:rsidP="005F1F60"/>
    <w:p w:rsidR="005F1F60" w:rsidRDefault="005F1F60" w:rsidP="005F1F60"/>
    <w:p w:rsidR="005F1F60" w:rsidRDefault="005F1F60" w:rsidP="005F1F60"/>
    <w:p w:rsidR="005F1F60" w:rsidRDefault="005F1F60" w:rsidP="005F1F60"/>
    <w:p w:rsidR="005F1F60" w:rsidRDefault="005F1F60" w:rsidP="005F1F60"/>
    <w:p w:rsidR="005F1F60" w:rsidRDefault="005F1F60" w:rsidP="005F1F60"/>
    <w:p w:rsidR="005F1F60" w:rsidRDefault="005F1F60" w:rsidP="005F1F60"/>
    <w:p w:rsidR="005F1F60" w:rsidRDefault="005F1F60" w:rsidP="005F1F60"/>
    <w:p w:rsidR="005F1F60" w:rsidRDefault="005F1F60" w:rsidP="005F1F60"/>
    <w:p w:rsidR="005F1F60" w:rsidRDefault="005F1F60" w:rsidP="005F1F60"/>
    <w:p w:rsidR="005F1F60" w:rsidRDefault="005F1F60" w:rsidP="005F1F60"/>
    <w:p w:rsidR="005F1F60" w:rsidRDefault="005F1F60" w:rsidP="005F1F60"/>
    <w:p w:rsidR="005F1F60" w:rsidRDefault="005F1F60" w:rsidP="005F1F60"/>
    <w:p w:rsidR="005F1F60" w:rsidRDefault="005F1F60" w:rsidP="005F1F60"/>
    <w:p w:rsidR="005F1F60" w:rsidRDefault="005F1F60" w:rsidP="005F1F60"/>
    <w:p w:rsidR="005F1F60" w:rsidRDefault="005F1F60" w:rsidP="005F1F60"/>
    <w:p w:rsidR="005F1F60" w:rsidRDefault="005F1F60" w:rsidP="005F1F60"/>
    <w:p w:rsidR="005F1F60" w:rsidRDefault="005F1F60" w:rsidP="005F1F60"/>
    <w:p w:rsidR="005F1F60" w:rsidRDefault="005F1F60" w:rsidP="005F1F60"/>
    <w:p w:rsidR="005F1F60" w:rsidRDefault="005F1F60" w:rsidP="005F1F60"/>
    <w:p w:rsidR="005F1F60" w:rsidRDefault="005F1F60" w:rsidP="005F1F60"/>
    <w:p w:rsidR="005F1F60" w:rsidRDefault="005F1F60" w:rsidP="005F1F60"/>
    <w:p w:rsidR="00E45D78" w:rsidRDefault="00E45D78" w:rsidP="005F1F60"/>
    <w:p w:rsidR="005F1F60" w:rsidRDefault="005F1F60" w:rsidP="005F1F60"/>
    <w:sdt>
      <w:sdtPr>
        <w:rPr>
          <w:rFonts w:asciiTheme="minorHAnsi" w:eastAsiaTheme="minorHAnsi" w:hAnsiTheme="minorHAnsi" w:cstheme="minorBidi"/>
          <w:color w:val="auto"/>
          <w:sz w:val="22"/>
          <w:szCs w:val="22"/>
          <w:lang w:eastAsia="en-US"/>
        </w:rPr>
        <w:id w:val="2113863993"/>
        <w:docPartObj>
          <w:docPartGallery w:val="Table of Contents"/>
          <w:docPartUnique/>
        </w:docPartObj>
      </w:sdtPr>
      <w:sdtEndPr/>
      <w:sdtContent>
        <w:p w:rsidR="005F1F60" w:rsidRPr="00B6740A" w:rsidRDefault="005F1F60" w:rsidP="005F1F60">
          <w:pPr>
            <w:pStyle w:val="TOCNaslov"/>
            <w:rPr>
              <w:rFonts w:asciiTheme="minorHAnsi" w:eastAsiaTheme="minorHAnsi" w:hAnsiTheme="minorHAnsi" w:cstheme="minorBidi"/>
              <w:color w:val="auto"/>
              <w:sz w:val="22"/>
              <w:szCs w:val="22"/>
              <w:lang w:eastAsia="en-US"/>
            </w:rPr>
          </w:pPr>
          <w:r>
            <w:rPr>
              <w:rFonts w:ascii="Arial" w:hAnsi="Arial" w:cs="Arial"/>
              <w:color w:val="auto"/>
              <w:sz w:val="22"/>
              <w:szCs w:val="22"/>
            </w:rPr>
            <w:t>SADRŽAJ</w:t>
          </w:r>
        </w:p>
        <w:p w:rsidR="005F1F60" w:rsidRDefault="00590628" w:rsidP="005F1F60">
          <w:pPr>
            <w:rPr>
              <w:rFonts w:ascii="Arial" w:hAnsi="Arial" w:cs="Arial"/>
              <w:lang w:eastAsia="hr-HR"/>
            </w:rPr>
          </w:pPr>
        </w:p>
      </w:sdtContent>
    </w:sdt>
    <w:p w:rsidR="00DD695E" w:rsidRPr="00DD695E" w:rsidRDefault="00DD695E" w:rsidP="00DD695E">
      <w:pPr>
        <w:rPr>
          <w:b/>
        </w:rPr>
      </w:pPr>
    </w:p>
    <w:p w:rsidR="00DD695E" w:rsidRPr="00DD695E" w:rsidRDefault="00DD695E">
      <w:pPr>
        <w:pStyle w:val="Sadraj2"/>
        <w:tabs>
          <w:tab w:val="left" w:pos="660"/>
          <w:tab w:val="right" w:leader="dot" w:pos="9060"/>
        </w:tabs>
        <w:rPr>
          <w:rFonts w:ascii="Arial" w:eastAsiaTheme="minorEastAsia" w:hAnsi="Arial" w:cs="Arial"/>
          <w:noProof/>
          <w:lang w:eastAsia="hr-HR"/>
        </w:rPr>
      </w:pPr>
      <w:r w:rsidRPr="00DD695E">
        <w:rPr>
          <w:b/>
        </w:rPr>
        <w:fldChar w:fldCharType="begin"/>
      </w:r>
      <w:r w:rsidRPr="00DD695E">
        <w:rPr>
          <w:b/>
        </w:rPr>
        <w:instrText xml:space="preserve"> TOC \o "1-3" \h \z \u </w:instrText>
      </w:r>
      <w:r w:rsidRPr="00DD695E">
        <w:rPr>
          <w:b/>
        </w:rPr>
        <w:fldChar w:fldCharType="separate"/>
      </w:r>
      <w:hyperlink w:anchor="_Toc161385970" w:history="1">
        <w:r w:rsidRPr="00DD695E">
          <w:rPr>
            <w:rStyle w:val="Hiperveza"/>
            <w:rFonts w:ascii="Arial" w:hAnsi="Arial" w:cs="Arial"/>
            <w:noProof/>
          </w:rPr>
          <w:t>1.PREDGOVOR</w:t>
        </w:r>
        <w:r w:rsidRPr="00DD695E">
          <w:rPr>
            <w:rFonts w:ascii="Arial" w:hAnsi="Arial" w:cs="Arial"/>
            <w:noProof/>
            <w:webHidden/>
          </w:rPr>
          <w:tab/>
        </w:r>
        <w:r w:rsidRPr="00DD695E">
          <w:rPr>
            <w:rFonts w:ascii="Arial" w:hAnsi="Arial" w:cs="Arial"/>
            <w:noProof/>
            <w:webHidden/>
          </w:rPr>
          <w:fldChar w:fldCharType="begin"/>
        </w:r>
        <w:r w:rsidRPr="00DD695E">
          <w:rPr>
            <w:rFonts w:ascii="Arial" w:hAnsi="Arial" w:cs="Arial"/>
            <w:noProof/>
            <w:webHidden/>
          </w:rPr>
          <w:instrText xml:space="preserve"> PAGEREF _Toc161385970 \h </w:instrText>
        </w:r>
        <w:r w:rsidRPr="00DD695E">
          <w:rPr>
            <w:rFonts w:ascii="Arial" w:hAnsi="Arial" w:cs="Arial"/>
            <w:noProof/>
            <w:webHidden/>
          </w:rPr>
        </w:r>
        <w:r w:rsidRPr="00DD695E">
          <w:rPr>
            <w:rFonts w:ascii="Arial" w:hAnsi="Arial" w:cs="Arial"/>
            <w:noProof/>
            <w:webHidden/>
          </w:rPr>
          <w:fldChar w:fldCharType="separate"/>
        </w:r>
        <w:r w:rsidR="00FD1546">
          <w:rPr>
            <w:rFonts w:ascii="Arial" w:hAnsi="Arial" w:cs="Arial"/>
            <w:noProof/>
            <w:webHidden/>
          </w:rPr>
          <w:t>1</w:t>
        </w:r>
        <w:r w:rsidRPr="00DD695E">
          <w:rPr>
            <w:rFonts w:ascii="Arial" w:hAnsi="Arial" w:cs="Arial"/>
            <w:noProof/>
            <w:webHidden/>
          </w:rPr>
          <w:fldChar w:fldCharType="end"/>
        </w:r>
      </w:hyperlink>
    </w:p>
    <w:p w:rsidR="00DD695E" w:rsidRDefault="00590628">
      <w:pPr>
        <w:pStyle w:val="Sadraj2"/>
        <w:tabs>
          <w:tab w:val="right" w:leader="dot" w:pos="9060"/>
        </w:tabs>
        <w:rPr>
          <w:rFonts w:eastAsiaTheme="minorEastAsia"/>
          <w:noProof/>
          <w:lang w:eastAsia="hr-HR"/>
        </w:rPr>
      </w:pPr>
      <w:hyperlink w:anchor="_Toc161385971" w:history="1">
        <w:r w:rsidR="00DD695E" w:rsidRPr="00DD695E">
          <w:rPr>
            <w:rStyle w:val="Hiperveza"/>
            <w:rFonts w:ascii="Arial" w:eastAsia="Times New Roman" w:hAnsi="Arial" w:cs="Arial"/>
            <w:bCs/>
            <w:noProof/>
            <w:lang w:eastAsia="hr-HR"/>
          </w:rPr>
          <w:t>2. UVOD</w:t>
        </w:r>
        <w:r w:rsidR="00DD695E" w:rsidRPr="00DD695E">
          <w:rPr>
            <w:rFonts w:ascii="Arial" w:hAnsi="Arial" w:cs="Arial"/>
            <w:noProof/>
            <w:webHidden/>
          </w:rPr>
          <w:tab/>
        </w:r>
        <w:r w:rsidR="00DD695E" w:rsidRPr="00DD695E">
          <w:rPr>
            <w:rFonts w:ascii="Arial" w:hAnsi="Arial" w:cs="Arial"/>
            <w:noProof/>
            <w:webHidden/>
          </w:rPr>
          <w:fldChar w:fldCharType="begin"/>
        </w:r>
        <w:r w:rsidR="00DD695E" w:rsidRPr="00DD695E">
          <w:rPr>
            <w:rFonts w:ascii="Arial" w:hAnsi="Arial" w:cs="Arial"/>
            <w:noProof/>
            <w:webHidden/>
          </w:rPr>
          <w:instrText xml:space="preserve"> PAGEREF _Toc161385971 \h </w:instrText>
        </w:r>
        <w:r w:rsidR="00DD695E" w:rsidRPr="00DD695E">
          <w:rPr>
            <w:rFonts w:ascii="Arial" w:hAnsi="Arial" w:cs="Arial"/>
            <w:noProof/>
            <w:webHidden/>
          </w:rPr>
        </w:r>
        <w:r w:rsidR="00DD695E" w:rsidRPr="00DD695E">
          <w:rPr>
            <w:rFonts w:ascii="Arial" w:hAnsi="Arial" w:cs="Arial"/>
            <w:noProof/>
            <w:webHidden/>
          </w:rPr>
          <w:fldChar w:fldCharType="separate"/>
        </w:r>
        <w:r w:rsidR="00FD1546">
          <w:rPr>
            <w:rFonts w:ascii="Arial" w:hAnsi="Arial" w:cs="Arial"/>
            <w:noProof/>
            <w:webHidden/>
          </w:rPr>
          <w:t>3</w:t>
        </w:r>
        <w:r w:rsidR="00DD695E" w:rsidRPr="00DD695E">
          <w:rPr>
            <w:rFonts w:ascii="Arial" w:hAnsi="Arial" w:cs="Arial"/>
            <w:noProof/>
            <w:webHidden/>
          </w:rPr>
          <w:fldChar w:fldCharType="end"/>
        </w:r>
      </w:hyperlink>
    </w:p>
    <w:p w:rsidR="00DD695E" w:rsidRDefault="00590628">
      <w:pPr>
        <w:pStyle w:val="Sadraj2"/>
        <w:tabs>
          <w:tab w:val="right" w:leader="dot" w:pos="9060"/>
        </w:tabs>
        <w:rPr>
          <w:rFonts w:eastAsiaTheme="minorEastAsia"/>
          <w:noProof/>
          <w:lang w:eastAsia="hr-HR"/>
        </w:rPr>
      </w:pPr>
      <w:hyperlink w:anchor="_Toc161385972" w:history="1">
        <w:r w:rsidR="00DD695E" w:rsidRPr="0004731D">
          <w:rPr>
            <w:rStyle w:val="Hiperveza"/>
            <w:rFonts w:ascii="Arial" w:eastAsia="Times New Roman" w:hAnsi="Arial" w:cs="Arial"/>
            <w:noProof/>
            <w:lang w:eastAsia="hr-HR"/>
          </w:rPr>
          <w:t>a. Djelokrug</w:t>
        </w:r>
        <w:r w:rsidR="00DD695E">
          <w:rPr>
            <w:noProof/>
            <w:webHidden/>
          </w:rPr>
          <w:tab/>
        </w:r>
        <w:r w:rsidR="00DD695E">
          <w:rPr>
            <w:noProof/>
            <w:webHidden/>
          </w:rPr>
          <w:fldChar w:fldCharType="begin"/>
        </w:r>
        <w:r w:rsidR="00DD695E">
          <w:rPr>
            <w:noProof/>
            <w:webHidden/>
          </w:rPr>
          <w:instrText xml:space="preserve"> PAGEREF _Toc161385972 \h </w:instrText>
        </w:r>
        <w:r w:rsidR="00DD695E">
          <w:rPr>
            <w:noProof/>
            <w:webHidden/>
          </w:rPr>
        </w:r>
        <w:r w:rsidR="00DD695E">
          <w:rPr>
            <w:noProof/>
            <w:webHidden/>
          </w:rPr>
          <w:fldChar w:fldCharType="separate"/>
        </w:r>
        <w:r w:rsidR="00FD1546">
          <w:rPr>
            <w:noProof/>
            <w:webHidden/>
          </w:rPr>
          <w:t>3</w:t>
        </w:r>
        <w:r w:rsidR="00DD695E">
          <w:rPr>
            <w:noProof/>
            <w:webHidden/>
          </w:rPr>
          <w:fldChar w:fldCharType="end"/>
        </w:r>
      </w:hyperlink>
    </w:p>
    <w:p w:rsidR="00DD695E" w:rsidRDefault="00590628">
      <w:pPr>
        <w:pStyle w:val="Sadraj2"/>
        <w:tabs>
          <w:tab w:val="right" w:leader="dot" w:pos="9060"/>
        </w:tabs>
        <w:rPr>
          <w:rFonts w:eastAsiaTheme="minorEastAsia"/>
          <w:noProof/>
          <w:lang w:eastAsia="hr-HR"/>
        </w:rPr>
      </w:pPr>
      <w:hyperlink w:anchor="_Toc161385973" w:history="1">
        <w:r w:rsidR="00DD695E" w:rsidRPr="0004731D">
          <w:rPr>
            <w:rStyle w:val="Hiperveza"/>
            <w:rFonts w:ascii="Arial" w:eastAsia="Times New Roman" w:hAnsi="Arial" w:cs="Arial"/>
            <w:noProof/>
            <w:lang w:eastAsia="hr-HR"/>
          </w:rPr>
          <w:t>b. Vizija</w:t>
        </w:r>
        <w:r w:rsidR="00DD695E">
          <w:rPr>
            <w:noProof/>
            <w:webHidden/>
          </w:rPr>
          <w:tab/>
        </w:r>
        <w:r w:rsidR="00DD695E">
          <w:rPr>
            <w:noProof/>
            <w:webHidden/>
          </w:rPr>
          <w:fldChar w:fldCharType="begin"/>
        </w:r>
        <w:r w:rsidR="00DD695E">
          <w:rPr>
            <w:noProof/>
            <w:webHidden/>
          </w:rPr>
          <w:instrText xml:space="preserve"> PAGEREF _Toc161385973 \h </w:instrText>
        </w:r>
        <w:r w:rsidR="00DD695E">
          <w:rPr>
            <w:noProof/>
            <w:webHidden/>
          </w:rPr>
        </w:r>
        <w:r w:rsidR="00DD695E">
          <w:rPr>
            <w:noProof/>
            <w:webHidden/>
          </w:rPr>
          <w:fldChar w:fldCharType="separate"/>
        </w:r>
        <w:r w:rsidR="00FD1546">
          <w:rPr>
            <w:noProof/>
            <w:webHidden/>
          </w:rPr>
          <w:t>7</w:t>
        </w:r>
        <w:r w:rsidR="00DD695E">
          <w:rPr>
            <w:noProof/>
            <w:webHidden/>
          </w:rPr>
          <w:fldChar w:fldCharType="end"/>
        </w:r>
      </w:hyperlink>
    </w:p>
    <w:p w:rsidR="00DD695E" w:rsidRDefault="00590628">
      <w:pPr>
        <w:pStyle w:val="Sadraj2"/>
        <w:tabs>
          <w:tab w:val="right" w:leader="dot" w:pos="9060"/>
        </w:tabs>
        <w:rPr>
          <w:rFonts w:eastAsiaTheme="minorEastAsia"/>
          <w:noProof/>
          <w:lang w:eastAsia="hr-HR"/>
        </w:rPr>
      </w:pPr>
      <w:hyperlink w:anchor="_Toc161385974" w:history="1">
        <w:r w:rsidR="00DD695E" w:rsidRPr="0004731D">
          <w:rPr>
            <w:rStyle w:val="Hiperveza"/>
            <w:rFonts w:ascii="Arial" w:eastAsia="Times New Roman" w:hAnsi="Arial" w:cs="Arial"/>
            <w:noProof/>
            <w:lang w:eastAsia="hr-HR"/>
          </w:rPr>
          <w:t>c. Misija</w:t>
        </w:r>
        <w:r w:rsidR="00DD695E">
          <w:rPr>
            <w:noProof/>
            <w:webHidden/>
          </w:rPr>
          <w:tab/>
        </w:r>
        <w:r w:rsidR="00DD695E">
          <w:rPr>
            <w:noProof/>
            <w:webHidden/>
          </w:rPr>
          <w:fldChar w:fldCharType="begin"/>
        </w:r>
        <w:r w:rsidR="00DD695E">
          <w:rPr>
            <w:noProof/>
            <w:webHidden/>
          </w:rPr>
          <w:instrText xml:space="preserve"> PAGEREF _Toc161385974 \h </w:instrText>
        </w:r>
        <w:r w:rsidR="00DD695E">
          <w:rPr>
            <w:noProof/>
            <w:webHidden/>
          </w:rPr>
        </w:r>
        <w:r w:rsidR="00DD695E">
          <w:rPr>
            <w:noProof/>
            <w:webHidden/>
          </w:rPr>
          <w:fldChar w:fldCharType="separate"/>
        </w:r>
        <w:r w:rsidR="00FD1546">
          <w:rPr>
            <w:noProof/>
            <w:webHidden/>
          </w:rPr>
          <w:t>7</w:t>
        </w:r>
        <w:r w:rsidR="00DD695E">
          <w:rPr>
            <w:noProof/>
            <w:webHidden/>
          </w:rPr>
          <w:fldChar w:fldCharType="end"/>
        </w:r>
      </w:hyperlink>
    </w:p>
    <w:p w:rsidR="00DD695E" w:rsidRDefault="00590628">
      <w:pPr>
        <w:pStyle w:val="Sadraj2"/>
        <w:tabs>
          <w:tab w:val="right" w:leader="dot" w:pos="9060"/>
        </w:tabs>
        <w:rPr>
          <w:rFonts w:eastAsiaTheme="minorEastAsia"/>
          <w:noProof/>
          <w:lang w:eastAsia="hr-HR"/>
        </w:rPr>
      </w:pPr>
      <w:hyperlink w:anchor="_Toc161385975" w:history="1">
        <w:r w:rsidR="00DD695E" w:rsidRPr="0004731D">
          <w:rPr>
            <w:rStyle w:val="Hiperveza"/>
            <w:rFonts w:ascii="Arial" w:eastAsia="Times New Roman" w:hAnsi="Arial" w:cs="Arial"/>
            <w:noProof/>
            <w:lang w:eastAsia="hr-HR"/>
          </w:rPr>
          <w:t>3. KONTEKST</w:t>
        </w:r>
        <w:r w:rsidR="00DD695E">
          <w:rPr>
            <w:noProof/>
            <w:webHidden/>
          </w:rPr>
          <w:tab/>
        </w:r>
        <w:r w:rsidR="00DD695E">
          <w:rPr>
            <w:noProof/>
            <w:webHidden/>
          </w:rPr>
          <w:fldChar w:fldCharType="begin"/>
        </w:r>
        <w:r w:rsidR="00DD695E">
          <w:rPr>
            <w:noProof/>
            <w:webHidden/>
          </w:rPr>
          <w:instrText xml:space="preserve"> PAGEREF _Toc161385975 \h </w:instrText>
        </w:r>
        <w:r w:rsidR="00DD695E">
          <w:rPr>
            <w:noProof/>
            <w:webHidden/>
          </w:rPr>
        </w:r>
        <w:r w:rsidR="00DD695E">
          <w:rPr>
            <w:noProof/>
            <w:webHidden/>
          </w:rPr>
          <w:fldChar w:fldCharType="separate"/>
        </w:r>
        <w:r w:rsidR="00FD1546">
          <w:rPr>
            <w:noProof/>
            <w:webHidden/>
          </w:rPr>
          <w:t>8</w:t>
        </w:r>
        <w:r w:rsidR="00DD695E">
          <w:rPr>
            <w:noProof/>
            <w:webHidden/>
          </w:rPr>
          <w:fldChar w:fldCharType="end"/>
        </w:r>
      </w:hyperlink>
    </w:p>
    <w:p w:rsidR="00DD695E" w:rsidRDefault="00590628">
      <w:pPr>
        <w:pStyle w:val="Sadraj2"/>
        <w:tabs>
          <w:tab w:val="right" w:leader="dot" w:pos="9060"/>
        </w:tabs>
        <w:rPr>
          <w:rFonts w:eastAsiaTheme="minorEastAsia"/>
          <w:noProof/>
          <w:lang w:eastAsia="hr-HR"/>
        </w:rPr>
      </w:pPr>
      <w:hyperlink w:anchor="_Toc161385977" w:history="1">
        <w:r w:rsidR="00DD695E" w:rsidRPr="00DD695E">
          <w:rPr>
            <w:rStyle w:val="Hiperveza"/>
            <w:noProof/>
          </w:rPr>
          <w:t>4.</w:t>
        </w:r>
        <w:r w:rsidR="00DD695E" w:rsidRPr="0004731D">
          <w:rPr>
            <w:rStyle w:val="Hiperveza"/>
            <w:b/>
            <w:noProof/>
          </w:rPr>
          <w:t xml:space="preserve"> </w:t>
        </w:r>
        <w:r w:rsidR="00DD695E" w:rsidRPr="00DD695E">
          <w:rPr>
            <w:rStyle w:val="Hiperveza"/>
            <w:rFonts w:ascii="Arial" w:hAnsi="Arial" w:cs="Arial"/>
            <w:noProof/>
          </w:rPr>
          <w:t>ORGANIZACIJSKA STRUKTURA</w:t>
        </w:r>
        <w:r w:rsidR="00DD695E">
          <w:rPr>
            <w:noProof/>
            <w:webHidden/>
          </w:rPr>
          <w:tab/>
        </w:r>
        <w:r w:rsidR="00DD695E">
          <w:rPr>
            <w:noProof/>
            <w:webHidden/>
          </w:rPr>
          <w:fldChar w:fldCharType="begin"/>
        </w:r>
        <w:r w:rsidR="00DD695E">
          <w:rPr>
            <w:noProof/>
            <w:webHidden/>
          </w:rPr>
          <w:instrText xml:space="preserve"> PAGEREF _Toc161385977 \h </w:instrText>
        </w:r>
        <w:r w:rsidR="00DD695E">
          <w:rPr>
            <w:noProof/>
            <w:webHidden/>
          </w:rPr>
        </w:r>
        <w:r w:rsidR="00DD695E">
          <w:rPr>
            <w:noProof/>
            <w:webHidden/>
          </w:rPr>
          <w:fldChar w:fldCharType="separate"/>
        </w:r>
        <w:r w:rsidR="00FD1546">
          <w:rPr>
            <w:noProof/>
            <w:webHidden/>
          </w:rPr>
          <w:t>9</w:t>
        </w:r>
        <w:r w:rsidR="00DD695E">
          <w:rPr>
            <w:noProof/>
            <w:webHidden/>
          </w:rPr>
          <w:fldChar w:fldCharType="end"/>
        </w:r>
      </w:hyperlink>
    </w:p>
    <w:p w:rsidR="00DD695E" w:rsidRPr="00DD695E" w:rsidRDefault="00DD695E" w:rsidP="00DD695E">
      <w:pPr>
        <w:rPr>
          <w:b/>
        </w:rPr>
      </w:pPr>
      <w:r w:rsidRPr="00DD695E">
        <w:rPr>
          <w:b/>
        </w:rPr>
        <w:fldChar w:fldCharType="end"/>
      </w:r>
    </w:p>
    <w:p w:rsidR="005F1F60" w:rsidRDefault="005F1F60" w:rsidP="005F1F60"/>
    <w:p w:rsidR="005F1F60" w:rsidRDefault="005F1F60" w:rsidP="005F1F60"/>
    <w:p w:rsidR="005F1F60" w:rsidRDefault="005F1F60" w:rsidP="005F1F60"/>
    <w:p w:rsidR="005F1F60" w:rsidRDefault="005F1F60" w:rsidP="005F1F60"/>
    <w:p w:rsidR="005F1F60" w:rsidRDefault="005F1F60" w:rsidP="005F1F60"/>
    <w:p w:rsidR="005F1F60" w:rsidRDefault="00FD1546" w:rsidP="005F1F60">
      <w:r>
        <w:t xml:space="preserve">      </w:t>
      </w:r>
    </w:p>
    <w:p w:rsidR="005F1F60" w:rsidRDefault="005F1F60" w:rsidP="005F1F60"/>
    <w:p w:rsidR="005F1F60" w:rsidRDefault="005F1F60" w:rsidP="005F1F60"/>
    <w:p w:rsidR="005F1F60" w:rsidRDefault="005F1F60" w:rsidP="005F1F60"/>
    <w:p w:rsidR="005F1F60" w:rsidRDefault="005F1F60" w:rsidP="005F1F60"/>
    <w:p w:rsidR="005F1F60" w:rsidRDefault="005F1F60" w:rsidP="005F1F60"/>
    <w:p w:rsidR="005F1F60" w:rsidRDefault="005F1F60" w:rsidP="005F1F60"/>
    <w:p w:rsidR="005F1F60" w:rsidRDefault="005F1F60" w:rsidP="005F1F60"/>
    <w:p w:rsidR="005F1F60" w:rsidRDefault="005F1F60" w:rsidP="005F1F60"/>
    <w:p w:rsidR="005F1F60" w:rsidRDefault="005F1F60" w:rsidP="005F1F60"/>
    <w:p w:rsidR="005F1F60" w:rsidRDefault="005F1F60" w:rsidP="005F1F60"/>
    <w:p w:rsidR="005F1F60" w:rsidRDefault="005F1F60" w:rsidP="005F1F60"/>
    <w:p w:rsidR="005F1F60" w:rsidRDefault="005F1F60" w:rsidP="005F1F60">
      <w:pPr>
        <w:spacing w:line="276" w:lineRule="auto"/>
      </w:pPr>
    </w:p>
    <w:p w:rsidR="00DD695E" w:rsidRDefault="00DD695E" w:rsidP="005F1F60">
      <w:pPr>
        <w:spacing w:line="276" w:lineRule="auto"/>
      </w:pPr>
    </w:p>
    <w:p w:rsidR="00DD695E" w:rsidRDefault="00DD695E" w:rsidP="005F1F60">
      <w:pPr>
        <w:spacing w:line="276" w:lineRule="auto"/>
      </w:pPr>
    </w:p>
    <w:p w:rsidR="00DD695E" w:rsidRDefault="00DD695E" w:rsidP="005F1F60">
      <w:pPr>
        <w:spacing w:line="276" w:lineRule="auto"/>
      </w:pPr>
    </w:p>
    <w:p w:rsidR="00DD695E" w:rsidRDefault="00DD695E" w:rsidP="005F1F60">
      <w:pPr>
        <w:spacing w:line="276" w:lineRule="auto"/>
      </w:pPr>
    </w:p>
    <w:p w:rsidR="00DD695E" w:rsidRDefault="00DD695E" w:rsidP="005F1F60">
      <w:pPr>
        <w:spacing w:line="276" w:lineRule="auto"/>
      </w:pPr>
    </w:p>
    <w:p w:rsidR="00DD695E" w:rsidRDefault="00DD695E" w:rsidP="005F1F60">
      <w:pPr>
        <w:spacing w:line="276" w:lineRule="auto"/>
      </w:pPr>
    </w:p>
    <w:p w:rsidR="00DD695E" w:rsidRDefault="00DD695E" w:rsidP="005F1F60">
      <w:pPr>
        <w:spacing w:line="276" w:lineRule="auto"/>
      </w:pPr>
    </w:p>
    <w:p w:rsidR="00DD695E" w:rsidRDefault="00DD695E" w:rsidP="005F1F60">
      <w:pPr>
        <w:spacing w:line="276" w:lineRule="auto"/>
      </w:pPr>
    </w:p>
    <w:p w:rsidR="00DD695E" w:rsidRDefault="00DD695E" w:rsidP="005F1F60">
      <w:pPr>
        <w:spacing w:line="276" w:lineRule="auto"/>
      </w:pPr>
    </w:p>
    <w:p w:rsidR="00DD695E" w:rsidRDefault="00DD695E" w:rsidP="005F1F60">
      <w:pPr>
        <w:spacing w:line="276" w:lineRule="auto"/>
      </w:pPr>
    </w:p>
    <w:p w:rsidR="00DD695E" w:rsidRDefault="00DD695E" w:rsidP="005F1F60">
      <w:pPr>
        <w:spacing w:line="276" w:lineRule="auto"/>
      </w:pPr>
    </w:p>
    <w:p w:rsidR="00DD695E" w:rsidRDefault="00DD695E" w:rsidP="005F1F60">
      <w:pPr>
        <w:spacing w:line="276" w:lineRule="auto"/>
      </w:pPr>
    </w:p>
    <w:p w:rsidR="00DD695E" w:rsidRDefault="00DD695E" w:rsidP="005F1F60">
      <w:pPr>
        <w:spacing w:line="276" w:lineRule="auto"/>
      </w:pPr>
    </w:p>
    <w:p w:rsidR="00DD695E" w:rsidRDefault="00DD695E" w:rsidP="005F1F60">
      <w:pPr>
        <w:spacing w:line="276" w:lineRule="auto"/>
      </w:pPr>
    </w:p>
    <w:p w:rsidR="00DD695E" w:rsidRDefault="00DD695E" w:rsidP="005F1F60">
      <w:pPr>
        <w:spacing w:line="276" w:lineRule="auto"/>
      </w:pPr>
    </w:p>
    <w:p w:rsidR="00DD695E" w:rsidRDefault="00DD695E" w:rsidP="005F1F60">
      <w:pPr>
        <w:spacing w:line="276" w:lineRule="auto"/>
      </w:pPr>
    </w:p>
    <w:p w:rsidR="00DD695E" w:rsidRDefault="00DD695E" w:rsidP="005F1F60">
      <w:pPr>
        <w:spacing w:line="276" w:lineRule="auto"/>
      </w:pPr>
    </w:p>
    <w:p w:rsidR="00DD695E" w:rsidRDefault="00DD695E" w:rsidP="005F1F60">
      <w:pPr>
        <w:spacing w:line="276" w:lineRule="auto"/>
      </w:pPr>
    </w:p>
    <w:p w:rsidR="00DD695E" w:rsidRDefault="00DD695E" w:rsidP="005F1F60">
      <w:pPr>
        <w:spacing w:line="276" w:lineRule="auto"/>
      </w:pPr>
    </w:p>
    <w:p w:rsidR="00DD695E" w:rsidRDefault="00DD695E" w:rsidP="005F1F60">
      <w:pPr>
        <w:spacing w:line="276" w:lineRule="auto"/>
      </w:pPr>
    </w:p>
    <w:p w:rsidR="00DD695E" w:rsidRDefault="00DD695E" w:rsidP="005F1F60">
      <w:pPr>
        <w:spacing w:line="276" w:lineRule="auto"/>
      </w:pPr>
    </w:p>
    <w:p w:rsidR="00DD695E" w:rsidRDefault="00DD695E" w:rsidP="005F1F60">
      <w:pPr>
        <w:spacing w:line="276" w:lineRule="auto"/>
      </w:pPr>
    </w:p>
    <w:p w:rsidR="00DD695E" w:rsidRDefault="00DD695E" w:rsidP="005F1F60">
      <w:pPr>
        <w:spacing w:line="276" w:lineRule="auto"/>
      </w:pPr>
    </w:p>
    <w:p w:rsidR="00DD695E" w:rsidRDefault="00DD695E" w:rsidP="005F1F60">
      <w:pPr>
        <w:spacing w:line="276" w:lineRule="auto"/>
      </w:pPr>
    </w:p>
    <w:p w:rsidR="00DD695E" w:rsidRDefault="00DD695E" w:rsidP="005F1F60">
      <w:pPr>
        <w:spacing w:line="276" w:lineRule="auto"/>
      </w:pPr>
    </w:p>
    <w:p w:rsidR="00DD695E" w:rsidRDefault="00DD695E" w:rsidP="005F1F60">
      <w:pPr>
        <w:spacing w:line="276" w:lineRule="auto"/>
      </w:pPr>
    </w:p>
    <w:p w:rsidR="00DD695E" w:rsidRDefault="00DD695E" w:rsidP="005F1F60">
      <w:pPr>
        <w:spacing w:line="276" w:lineRule="auto"/>
      </w:pPr>
    </w:p>
    <w:p w:rsidR="00DD695E" w:rsidRDefault="00DD695E" w:rsidP="005F1F60">
      <w:pPr>
        <w:spacing w:line="276" w:lineRule="auto"/>
      </w:pPr>
    </w:p>
    <w:p w:rsidR="005F1F60" w:rsidRDefault="005F1F60" w:rsidP="005F1F60">
      <w:pPr>
        <w:spacing w:after="0" w:line="276" w:lineRule="auto"/>
      </w:pPr>
    </w:p>
    <w:p w:rsidR="00B6740A" w:rsidRDefault="00B6740A" w:rsidP="005F1F60">
      <w:pPr>
        <w:spacing w:after="0" w:line="276" w:lineRule="auto"/>
      </w:pPr>
    </w:p>
    <w:p w:rsidR="00B6740A" w:rsidRDefault="00B6740A" w:rsidP="005F1F60">
      <w:pPr>
        <w:spacing w:after="0" w:line="276" w:lineRule="auto"/>
      </w:pPr>
    </w:p>
    <w:p w:rsidR="00B6740A" w:rsidRDefault="00B6740A" w:rsidP="005F1F60">
      <w:pPr>
        <w:spacing w:after="0" w:line="276" w:lineRule="auto"/>
        <w:sectPr w:rsidR="00B6740A">
          <w:footerReference w:type="default" r:id="rId9"/>
          <w:pgSz w:w="11906" w:h="16838"/>
          <w:pgMar w:top="1418" w:right="1418" w:bottom="1418" w:left="1418" w:header="709" w:footer="709" w:gutter="0"/>
          <w:pgNumType w:start="1"/>
          <w:cols w:space="720"/>
        </w:sectPr>
      </w:pPr>
    </w:p>
    <w:p w:rsidR="004922FE" w:rsidRDefault="004922FE" w:rsidP="00A21913">
      <w:pPr>
        <w:pStyle w:val="Naslov"/>
        <w:numPr>
          <w:ilvl w:val="0"/>
          <w:numId w:val="2"/>
        </w:numPr>
        <w:jc w:val="both"/>
        <w:rPr>
          <w:color w:val="FFFFFF" w:themeColor="background1"/>
          <w:lang w:eastAsia="en-US"/>
        </w:rPr>
        <w:sectPr w:rsidR="004922FE" w:rsidSect="007F71F8">
          <w:footerReference w:type="default" r:id="rId10"/>
          <w:type w:val="continuous"/>
          <w:pgSz w:w="11906" w:h="16838"/>
          <w:pgMar w:top="1418" w:right="1418" w:bottom="1418" w:left="1418" w:header="709" w:footer="709" w:gutter="0"/>
          <w:pgNumType w:start="1"/>
          <w:cols w:space="720"/>
        </w:sectPr>
      </w:pPr>
      <w:bookmarkStart w:id="2" w:name="_Toc61608698"/>
      <w:bookmarkStart w:id="3" w:name="_Toc65242386"/>
      <w:bookmarkStart w:id="4" w:name="_Toc96417907"/>
    </w:p>
    <w:p w:rsidR="004922FE" w:rsidRDefault="004922FE" w:rsidP="00A21913">
      <w:pPr>
        <w:pStyle w:val="Naslov"/>
        <w:numPr>
          <w:ilvl w:val="0"/>
          <w:numId w:val="2"/>
        </w:numPr>
        <w:jc w:val="both"/>
        <w:rPr>
          <w:color w:val="FFFFFF" w:themeColor="background1"/>
          <w:lang w:eastAsia="en-US"/>
        </w:rPr>
        <w:sectPr w:rsidR="004922FE" w:rsidSect="007F71F8">
          <w:type w:val="continuous"/>
          <w:pgSz w:w="11906" w:h="16838"/>
          <w:pgMar w:top="1418" w:right="1418" w:bottom="1418" w:left="1418" w:header="709" w:footer="709" w:gutter="0"/>
          <w:pgNumType w:start="1"/>
          <w:cols w:space="720"/>
        </w:sectPr>
      </w:pPr>
    </w:p>
    <w:tbl>
      <w:tblPr>
        <w:tblpPr w:leftFromText="180" w:rightFromText="180" w:bottomFromText="160" w:vertAnchor="text" w:horzAnchor="margin" w:tblpY="-264"/>
        <w:tblW w:w="0" w:type="auto"/>
        <w:shd w:val="clear" w:color="auto" w:fill="365F91"/>
        <w:tblLook w:val="04A0" w:firstRow="1" w:lastRow="0" w:firstColumn="1" w:lastColumn="0" w:noHBand="0" w:noVBand="1"/>
      </w:tblPr>
      <w:tblGrid>
        <w:gridCol w:w="9070"/>
      </w:tblGrid>
      <w:tr w:rsidR="005F1F60" w:rsidTr="005F1F60">
        <w:trPr>
          <w:trHeight w:val="406"/>
        </w:trPr>
        <w:tc>
          <w:tcPr>
            <w:tcW w:w="9072" w:type="dxa"/>
            <w:shd w:val="clear" w:color="auto" w:fill="365F91"/>
            <w:vAlign w:val="center"/>
            <w:hideMark/>
          </w:tcPr>
          <w:p w:rsidR="005F1F60" w:rsidRDefault="005F1F60" w:rsidP="00DD695E">
            <w:pPr>
              <w:pStyle w:val="Naslov"/>
            </w:pPr>
            <w:bookmarkStart w:id="5" w:name="_Toc161385872"/>
            <w:bookmarkStart w:id="6" w:name="_Toc161385970"/>
            <w:r>
              <w:lastRenderedPageBreak/>
              <w:t>PREDGOVOR</w:t>
            </w:r>
            <w:bookmarkEnd w:id="2"/>
            <w:bookmarkEnd w:id="3"/>
            <w:bookmarkEnd w:id="4"/>
            <w:bookmarkEnd w:id="5"/>
            <w:bookmarkEnd w:id="6"/>
          </w:p>
        </w:tc>
      </w:tr>
    </w:tbl>
    <w:p w:rsidR="005F1F60" w:rsidRDefault="005F1F60" w:rsidP="005F1F60">
      <w:pPr>
        <w:jc w:val="both"/>
        <w:rPr>
          <w:rFonts w:ascii="Arial" w:hAnsi="Arial" w:cs="Arial"/>
          <w:sz w:val="24"/>
          <w:szCs w:val="24"/>
        </w:rPr>
      </w:pPr>
    </w:p>
    <w:p w:rsidR="005F1F60" w:rsidRDefault="005F1F60" w:rsidP="00E6243C">
      <w:pPr>
        <w:spacing w:line="360" w:lineRule="auto"/>
        <w:jc w:val="both"/>
        <w:rPr>
          <w:noProof/>
          <w:lang w:eastAsia="hr-HR"/>
        </w:rPr>
      </w:pPr>
    </w:p>
    <w:p w:rsidR="003225E6" w:rsidRPr="003225E6" w:rsidRDefault="00B42A6E" w:rsidP="00B42A6E">
      <w:pPr>
        <w:spacing w:line="360" w:lineRule="auto"/>
        <w:jc w:val="both"/>
        <w:rPr>
          <w:rFonts w:ascii="Arial" w:hAnsi="Arial" w:cs="Arial"/>
        </w:rPr>
      </w:pPr>
      <w:r>
        <w:rPr>
          <w:noProof/>
          <w:lang w:eastAsia="hr-HR"/>
        </w:rPr>
        <w:drawing>
          <wp:anchor distT="0" distB="0" distL="114300" distR="114300" simplePos="0" relativeHeight="251658240" behindDoc="1" locked="0" layoutInCell="1" allowOverlap="1">
            <wp:simplePos x="0" y="0"/>
            <wp:positionH relativeFrom="margin">
              <wp:align>left</wp:align>
            </wp:positionH>
            <wp:positionV relativeFrom="paragraph">
              <wp:posOffset>14424</wp:posOffset>
            </wp:positionV>
            <wp:extent cx="2838450" cy="2028825"/>
            <wp:effectExtent l="0" t="0" r="0" b="9525"/>
            <wp:wrapThrough wrapText="bothSides">
              <wp:wrapPolygon edited="0">
                <wp:start x="0" y="0"/>
                <wp:lineTo x="0" y="21499"/>
                <wp:lineTo x="21455" y="21499"/>
                <wp:lineTo x="21455" y="0"/>
                <wp:lineTo x="0" y="0"/>
              </wp:wrapPolygon>
            </wp:wrapThrough>
            <wp:docPr id="2" name="Slika 2" descr="slika ministra"/>
            <wp:cNvGraphicFramePr/>
            <a:graphic xmlns:a="http://schemas.openxmlformats.org/drawingml/2006/main">
              <a:graphicData uri="http://schemas.openxmlformats.org/drawingml/2006/picture">
                <pic:pic xmlns:pic="http://schemas.openxmlformats.org/drawingml/2006/picture">
                  <pic:nvPicPr>
                    <pic:cNvPr id="5" name="Slika 5" descr="slika ministra"/>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38450" cy="2028825"/>
                    </a:xfrm>
                    <a:prstGeom prst="rect">
                      <a:avLst/>
                    </a:prstGeom>
                    <a:noFill/>
                  </pic:spPr>
                </pic:pic>
              </a:graphicData>
            </a:graphic>
          </wp:anchor>
        </w:drawing>
      </w:r>
      <w:r w:rsidR="003225E6" w:rsidRPr="003225E6">
        <w:rPr>
          <w:rFonts w:ascii="Arial" w:hAnsi="Arial" w:cs="Arial"/>
        </w:rPr>
        <w:t xml:space="preserve">Na sastanku Vijeća ministara unutarnjih poslova 8. prosinca 2022. države članice EU-a koje su članice Schengena jednoglasno su podržale pristupanje Hrvatske Schengenu odnosno ukidanje graničnih kontrola na svim unutarnjim kopnenim i morskim granicama od 1. siječnja 2023. te na graničnim prijelazima na zračnim lukama od 26. ožujka 2023. Takva je odluka potvrda višegodišnjeg rada ovog Ministarstva na ispunjavanju svih uvjeta, a za Republiku Hrvatsku takva odluka znači ostvarenje strateškog cilja. </w:t>
      </w:r>
    </w:p>
    <w:p w:rsidR="003225E6" w:rsidRPr="003225E6" w:rsidRDefault="003225E6" w:rsidP="00B42A6E">
      <w:pPr>
        <w:spacing w:line="360" w:lineRule="auto"/>
        <w:jc w:val="both"/>
        <w:rPr>
          <w:rFonts w:ascii="Arial" w:hAnsi="Arial" w:cs="Arial"/>
        </w:rPr>
      </w:pPr>
      <w:r w:rsidRPr="003225E6">
        <w:rPr>
          <w:rFonts w:ascii="Arial" w:hAnsi="Arial" w:cs="Arial"/>
        </w:rPr>
        <w:t xml:space="preserve">No posao tu nikako nije gotov budući da za 2023. godinu na </w:t>
      </w:r>
      <w:proofErr w:type="spellStart"/>
      <w:r w:rsidRPr="003225E6">
        <w:rPr>
          <w:rFonts w:ascii="Arial" w:hAnsi="Arial" w:cs="Arial"/>
        </w:rPr>
        <w:t>schengenskoj</w:t>
      </w:r>
      <w:proofErr w:type="spellEnd"/>
      <w:r w:rsidRPr="003225E6">
        <w:rPr>
          <w:rFonts w:ascii="Arial" w:hAnsi="Arial" w:cs="Arial"/>
        </w:rPr>
        <w:t xml:space="preserve"> vanjskoj granici planiramo implementaciju informacijskih sustava VIS, EES, ETIAS i ECRIS-TCN, a čime se dodatno ojačava kontrola i registracija državljana trećih zemalja koji ulaze u Schengen. </w:t>
      </w:r>
    </w:p>
    <w:p w:rsidR="003225E6" w:rsidRPr="003225E6" w:rsidRDefault="003225E6" w:rsidP="00B42A6E">
      <w:pPr>
        <w:spacing w:line="360" w:lineRule="auto"/>
        <w:jc w:val="both"/>
        <w:rPr>
          <w:rFonts w:ascii="Arial" w:hAnsi="Arial" w:cs="Arial"/>
        </w:rPr>
      </w:pPr>
      <w:r w:rsidRPr="003225E6">
        <w:rPr>
          <w:rFonts w:ascii="Arial" w:hAnsi="Arial" w:cs="Arial"/>
        </w:rPr>
        <w:t xml:space="preserve">Naime, Hrvatska je u 2022. ispunila sve preduvjete za priključenje VIS-u te provela sve aktivnosti kako bi se omogućio na EU razini dogovoren rok za implementaciju novih sustava te </w:t>
      </w:r>
      <w:proofErr w:type="spellStart"/>
      <w:r w:rsidRPr="003225E6">
        <w:rPr>
          <w:rFonts w:ascii="Arial" w:hAnsi="Arial" w:cs="Arial"/>
        </w:rPr>
        <w:t>interoperabilno</w:t>
      </w:r>
      <w:proofErr w:type="spellEnd"/>
      <w:r w:rsidRPr="003225E6">
        <w:rPr>
          <w:rFonts w:ascii="Arial" w:hAnsi="Arial" w:cs="Arial"/>
        </w:rPr>
        <w:t xml:space="preserve"> povezivanje navedenih sustava s već postojećim EU informacijskim sustavima (SIS i </w:t>
      </w:r>
      <w:proofErr w:type="spellStart"/>
      <w:r w:rsidRPr="003225E6">
        <w:rPr>
          <w:rFonts w:ascii="Arial" w:hAnsi="Arial" w:cs="Arial"/>
        </w:rPr>
        <w:t>Eurodac</w:t>
      </w:r>
      <w:proofErr w:type="spellEnd"/>
      <w:r w:rsidRPr="003225E6">
        <w:rPr>
          <w:rFonts w:ascii="Arial" w:hAnsi="Arial" w:cs="Arial"/>
        </w:rPr>
        <w:t>) u drugoj polovici 2024. godine.</w:t>
      </w:r>
    </w:p>
    <w:p w:rsidR="003225E6" w:rsidRPr="003225E6" w:rsidRDefault="003225E6" w:rsidP="00B42A6E">
      <w:pPr>
        <w:spacing w:line="360" w:lineRule="auto"/>
        <w:jc w:val="both"/>
        <w:rPr>
          <w:rFonts w:ascii="Arial" w:hAnsi="Arial" w:cs="Arial"/>
        </w:rPr>
      </w:pPr>
      <w:r w:rsidRPr="003225E6">
        <w:rPr>
          <w:rFonts w:ascii="Arial" w:hAnsi="Arial" w:cs="Arial"/>
        </w:rPr>
        <w:t xml:space="preserve">U tom smislu slijedi nastavak opremanja vanjske granice s BiH stacionarnim i mobilnim sustavima za nadzor granice, koristeći sredstva dostupna kroz raspoložive fondove Europske unije. </w:t>
      </w:r>
    </w:p>
    <w:p w:rsidR="003225E6" w:rsidRPr="003225E6" w:rsidRDefault="003225E6" w:rsidP="00B42A6E">
      <w:pPr>
        <w:spacing w:line="360" w:lineRule="auto"/>
        <w:jc w:val="both"/>
        <w:rPr>
          <w:rFonts w:ascii="Arial" w:hAnsi="Arial" w:cs="Arial"/>
        </w:rPr>
      </w:pPr>
      <w:r w:rsidRPr="003225E6">
        <w:rPr>
          <w:rFonts w:ascii="Arial" w:hAnsi="Arial" w:cs="Arial"/>
        </w:rPr>
        <w:t xml:space="preserve">Protekle godine provedena funkcionalna reorganizacija Ministarstva unutarnjih poslova je, zbog Hrvatskog ulaska u </w:t>
      </w:r>
      <w:proofErr w:type="spellStart"/>
      <w:r w:rsidRPr="003225E6">
        <w:rPr>
          <w:rFonts w:ascii="Arial" w:hAnsi="Arial" w:cs="Arial"/>
        </w:rPr>
        <w:t>schengenski</w:t>
      </w:r>
      <w:proofErr w:type="spellEnd"/>
      <w:r w:rsidRPr="003225E6">
        <w:rPr>
          <w:rFonts w:ascii="Arial" w:hAnsi="Arial" w:cs="Arial"/>
        </w:rPr>
        <w:t xml:space="preserve"> prostor, dodatno prilagođena i tim promjenama odnosno početku operativne zaštite državne granice kroz provedbu tzv. kompenzacijskih mjera, a kojim promjenama je obuhvaćeno više od tisuću policijskih službenika.  </w:t>
      </w:r>
    </w:p>
    <w:p w:rsidR="003225E6" w:rsidRPr="003225E6" w:rsidRDefault="003225E6" w:rsidP="00B42A6E">
      <w:pPr>
        <w:spacing w:line="360" w:lineRule="auto"/>
        <w:jc w:val="both"/>
        <w:rPr>
          <w:rFonts w:ascii="Arial" w:hAnsi="Arial" w:cs="Arial"/>
        </w:rPr>
      </w:pPr>
      <w:r w:rsidRPr="003225E6">
        <w:rPr>
          <w:rFonts w:ascii="Arial" w:hAnsi="Arial" w:cs="Arial"/>
        </w:rPr>
        <w:t xml:space="preserve">Kontinuirani rad na digitalizaciji radnih procesa te usluga građanima zlatno je pravilo od kojeg ne odustajemo te nastavljamo ranije započete projekte unaprjeđenja i modernizacije rada prometne policije ali slijedi i izrada te donošenje izmjena i dopuna Zakona o strancima radi usklađivanja s pravnom stečevinom Europske unije vezano uz ulazak i boravak državljana trećih zemalja u svrhu zapošljavanja visokokvalificiranih radnika, kao i pojednostavljenje i ubrzanje postupka izdavanja dozvola za boravak i rad. </w:t>
      </w:r>
    </w:p>
    <w:p w:rsidR="003225E6" w:rsidRPr="003225E6" w:rsidRDefault="003225E6" w:rsidP="003225E6">
      <w:pPr>
        <w:spacing w:line="360" w:lineRule="auto"/>
        <w:jc w:val="both"/>
        <w:rPr>
          <w:rFonts w:ascii="Arial" w:hAnsi="Arial" w:cs="Arial"/>
        </w:rPr>
      </w:pPr>
      <w:r w:rsidRPr="003225E6">
        <w:rPr>
          <w:rFonts w:ascii="Arial" w:hAnsi="Arial" w:cs="Arial"/>
        </w:rPr>
        <w:lastRenderedPageBreak/>
        <w:t>Naime, već sada digitaliziran proces prijave stranaca za sezonsko zapošljavanje do 90 dana će se, u suradnji s Hrvatskim zavodom za zapošljavanje, nadograditi u cilju što učinkovitijeg rješavanja i dozvola za boravak i rad.</w:t>
      </w:r>
    </w:p>
    <w:p w:rsidR="003225E6" w:rsidRPr="003225E6" w:rsidRDefault="003225E6" w:rsidP="003225E6">
      <w:pPr>
        <w:spacing w:line="360" w:lineRule="auto"/>
        <w:jc w:val="both"/>
        <w:rPr>
          <w:rFonts w:ascii="Arial" w:hAnsi="Arial" w:cs="Arial"/>
        </w:rPr>
      </w:pPr>
      <w:r w:rsidRPr="003225E6">
        <w:rPr>
          <w:rFonts w:ascii="Arial" w:hAnsi="Arial" w:cs="Arial"/>
        </w:rPr>
        <w:t xml:space="preserve">Republika Hrvatska kao turistička zemlja prepoznata je kao sigurna destinacija – izvanredan je rezultat od 73% razriješenih kaznenih djela, najviše otkad postoji samostalna hrvatska policija. Stoga ćemo, kao jamci sigurnosti, nastaviti ulagati znanje i opremu u svoje kapacitete. Tako ćemo u operativnom smislu jačati kapacitete u borbi protiv </w:t>
      </w:r>
      <w:proofErr w:type="spellStart"/>
      <w:r w:rsidRPr="003225E6">
        <w:rPr>
          <w:rFonts w:ascii="Arial" w:hAnsi="Arial" w:cs="Arial"/>
        </w:rPr>
        <w:t>kibernetičkog</w:t>
      </w:r>
      <w:proofErr w:type="spellEnd"/>
      <w:r w:rsidRPr="003225E6">
        <w:rPr>
          <w:rFonts w:ascii="Arial" w:hAnsi="Arial" w:cs="Arial"/>
        </w:rPr>
        <w:t xml:space="preserve"> kriminaliteta i suzbijanju terorizma kao i međuinstitucionalnu suradnju te suradnju s privatnim sektorom u području prevencije i suzbijanja terorizma te podizanja svijesti o zločinima iz mržnje. </w:t>
      </w:r>
    </w:p>
    <w:p w:rsidR="003225E6" w:rsidRPr="003225E6" w:rsidRDefault="003225E6" w:rsidP="003225E6">
      <w:pPr>
        <w:spacing w:line="360" w:lineRule="auto"/>
        <w:jc w:val="both"/>
        <w:rPr>
          <w:rFonts w:ascii="Arial" w:hAnsi="Arial" w:cs="Arial"/>
        </w:rPr>
      </w:pPr>
      <w:r w:rsidRPr="003225E6">
        <w:rPr>
          <w:rFonts w:ascii="Arial" w:hAnsi="Arial" w:cs="Arial"/>
        </w:rPr>
        <w:t xml:space="preserve">Ruku pod ruku s pozitivnim trendom stanja sigurnosti i razriješenosti reaktivnog kriminaliteta ide i donošenje Strategije upravljanja rizicima od katastrofa do 2030. i Akcijskog plana upravljanja rizicima od katastrofa za razdoblje do 2024., budući da navedeni dokument predstavlja jedinstven pristup upravljanju rizicima od katastrofa te je ključan preduvjet za korištenje sredstava iz EU fondova, programa i instrumenata u financijskom razdoblju 2021.-2027. </w:t>
      </w:r>
    </w:p>
    <w:p w:rsidR="003225E6" w:rsidRPr="003225E6" w:rsidRDefault="003225E6" w:rsidP="003225E6">
      <w:pPr>
        <w:spacing w:line="360" w:lineRule="auto"/>
        <w:jc w:val="both"/>
        <w:rPr>
          <w:rFonts w:ascii="Arial" w:hAnsi="Arial" w:cs="Arial"/>
        </w:rPr>
      </w:pPr>
      <w:r w:rsidRPr="003225E6">
        <w:rPr>
          <w:rFonts w:ascii="Arial" w:hAnsi="Arial" w:cs="Arial"/>
        </w:rPr>
        <w:t xml:space="preserve">U 2022. godini u potpunosti je uklonjena minska opasnost s područja Požeško-slavonske županije dok, u skladu s Nacionalnim programom </w:t>
      </w:r>
      <w:proofErr w:type="spellStart"/>
      <w:r w:rsidRPr="003225E6">
        <w:rPr>
          <w:rFonts w:ascii="Arial" w:hAnsi="Arial" w:cs="Arial"/>
        </w:rPr>
        <w:t>protuminskog</w:t>
      </w:r>
      <w:proofErr w:type="spellEnd"/>
      <w:r w:rsidRPr="003225E6">
        <w:rPr>
          <w:rFonts w:ascii="Arial" w:hAnsi="Arial" w:cs="Arial"/>
        </w:rPr>
        <w:t xml:space="preserve"> djelovanja u 2023. godini, planiramo potpuno razminirati područje Osječko-baranjske i Šibensko-kninske županije.</w:t>
      </w:r>
    </w:p>
    <w:p w:rsidR="003225E6" w:rsidRPr="00717CE6" w:rsidRDefault="003225E6" w:rsidP="00717CE6">
      <w:pPr>
        <w:spacing w:line="360" w:lineRule="auto"/>
        <w:jc w:val="both"/>
        <w:rPr>
          <w:rFonts w:ascii="Arial" w:hAnsi="Arial" w:cs="Arial"/>
        </w:rPr>
      </w:pPr>
      <w:r w:rsidRPr="00717CE6">
        <w:rPr>
          <w:rFonts w:ascii="Arial" w:hAnsi="Arial" w:cs="Arial"/>
        </w:rPr>
        <w:t xml:space="preserve">Iako je iza nas „godina isporuke“ strateških ciljeva Republike Hrvatske, ulaganje u obrazovne procese i kontinuirani razvoj obrazovnih modela za djelatnike Ministarstva unutarnjih poslova svih linija rada, ostaje </w:t>
      </w:r>
      <w:r w:rsidR="00717CE6" w:rsidRPr="00717CE6">
        <w:rPr>
          <w:rFonts w:ascii="Arial" w:hAnsi="Arial" w:cs="Arial"/>
        </w:rPr>
        <w:t xml:space="preserve">i nadalje </w:t>
      </w:r>
      <w:r w:rsidRPr="00717CE6">
        <w:rPr>
          <w:rFonts w:ascii="Arial" w:hAnsi="Arial" w:cs="Arial"/>
        </w:rPr>
        <w:t>naš prioritet</w:t>
      </w:r>
      <w:r w:rsidR="00B44887" w:rsidRPr="00717CE6">
        <w:rPr>
          <w:rFonts w:ascii="Arial" w:hAnsi="Arial" w:cs="Arial"/>
        </w:rPr>
        <w:t>.</w:t>
      </w:r>
      <w:r w:rsidRPr="00717CE6">
        <w:rPr>
          <w:rFonts w:ascii="Arial" w:hAnsi="Arial" w:cs="Arial"/>
        </w:rPr>
        <w:t xml:space="preserve"> </w:t>
      </w:r>
    </w:p>
    <w:p w:rsidR="00717CE6" w:rsidRPr="00717CE6" w:rsidRDefault="00717CE6" w:rsidP="00717CE6">
      <w:pPr>
        <w:spacing w:line="360" w:lineRule="auto"/>
        <w:jc w:val="both"/>
        <w:rPr>
          <w:rFonts w:ascii="Arial" w:hAnsi="Arial" w:cs="Arial"/>
        </w:rPr>
      </w:pPr>
      <w:r w:rsidRPr="00717CE6">
        <w:rPr>
          <w:rFonts w:ascii="Arial" w:hAnsi="Arial" w:cs="Arial"/>
        </w:rPr>
        <w:t>Ministarstvo unutarnjih poslova ostaje predano u obavljanju svojih zadaća - profesionalnom, odgovornom čuvanju ustavnopravnog poretka i mira, odnosno hrvatske i europske sigurnosti.</w:t>
      </w:r>
    </w:p>
    <w:p w:rsidR="00E6243C" w:rsidRPr="00717CE6" w:rsidRDefault="00E6243C" w:rsidP="00717CE6">
      <w:pPr>
        <w:spacing w:line="360" w:lineRule="auto"/>
        <w:jc w:val="both"/>
        <w:rPr>
          <w:rFonts w:ascii="Arial" w:hAnsi="Arial" w:cs="Arial"/>
          <w:noProof/>
          <w:lang w:eastAsia="hr-HR"/>
        </w:rPr>
      </w:pPr>
    </w:p>
    <w:p w:rsidR="00E6243C" w:rsidRPr="003225E6" w:rsidRDefault="00E6243C" w:rsidP="00E6243C">
      <w:pPr>
        <w:spacing w:line="360" w:lineRule="auto"/>
        <w:jc w:val="both"/>
        <w:rPr>
          <w:noProof/>
          <w:lang w:eastAsia="hr-HR"/>
        </w:rPr>
      </w:pPr>
    </w:p>
    <w:p w:rsidR="00253AB6" w:rsidRDefault="00253AB6" w:rsidP="00253AB6">
      <w:pPr>
        <w:spacing w:line="276" w:lineRule="auto"/>
        <w:jc w:val="both"/>
        <w:rPr>
          <w:b/>
          <w:noProof/>
          <w:lang w:eastAsia="hr-HR"/>
        </w:rPr>
      </w:pPr>
      <w:r>
        <w:rPr>
          <w:b/>
          <w:noProof/>
          <w:lang w:eastAsia="hr-HR"/>
        </w:rPr>
        <w:t xml:space="preserve">                 </w:t>
      </w:r>
      <w:r>
        <w:rPr>
          <w:b/>
          <w:noProof/>
          <w:lang w:eastAsia="hr-HR"/>
        </w:rPr>
        <w:tab/>
      </w:r>
      <w:r>
        <w:rPr>
          <w:b/>
          <w:noProof/>
          <w:lang w:eastAsia="hr-HR"/>
        </w:rPr>
        <w:tab/>
      </w:r>
      <w:r>
        <w:rPr>
          <w:b/>
          <w:noProof/>
          <w:lang w:eastAsia="hr-HR"/>
        </w:rPr>
        <w:tab/>
      </w:r>
      <w:r>
        <w:rPr>
          <w:b/>
          <w:noProof/>
          <w:lang w:eastAsia="hr-HR"/>
        </w:rPr>
        <w:tab/>
      </w:r>
      <w:r>
        <w:rPr>
          <w:b/>
          <w:noProof/>
          <w:lang w:eastAsia="hr-HR"/>
        </w:rPr>
        <w:tab/>
      </w:r>
      <w:r>
        <w:rPr>
          <w:b/>
          <w:noProof/>
          <w:lang w:eastAsia="hr-HR"/>
        </w:rPr>
        <w:tab/>
      </w:r>
      <w:r>
        <w:rPr>
          <w:b/>
          <w:noProof/>
          <w:lang w:eastAsia="hr-HR"/>
        </w:rPr>
        <w:tab/>
        <w:t xml:space="preserve">     Potpredsjednik Vlade i ministar</w:t>
      </w:r>
    </w:p>
    <w:p w:rsidR="00253AB6" w:rsidRDefault="00253AB6" w:rsidP="00253AB6">
      <w:pPr>
        <w:spacing w:line="276" w:lineRule="auto"/>
        <w:jc w:val="both"/>
        <w:rPr>
          <w:b/>
          <w:noProof/>
          <w:lang w:eastAsia="hr-HR"/>
        </w:rPr>
      </w:pPr>
      <w:r>
        <w:rPr>
          <w:b/>
          <w:noProof/>
          <w:lang w:eastAsia="hr-HR"/>
        </w:rPr>
        <w:tab/>
      </w:r>
      <w:r>
        <w:rPr>
          <w:b/>
          <w:noProof/>
          <w:lang w:eastAsia="hr-HR"/>
        </w:rPr>
        <w:tab/>
      </w:r>
      <w:r>
        <w:rPr>
          <w:b/>
          <w:noProof/>
          <w:lang w:eastAsia="hr-HR"/>
        </w:rPr>
        <w:tab/>
      </w:r>
      <w:r>
        <w:rPr>
          <w:b/>
          <w:noProof/>
          <w:lang w:eastAsia="hr-HR"/>
        </w:rPr>
        <w:tab/>
      </w:r>
      <w:r>
        <w:rPr>
          <w:b/>
          <w:noProof/>
          <w:lang w:eastAsia="hr-HR"/>
        </w:rPr>
        <w:tab/>
      </w:r>
      <w:r>
        <w:rPr>
          <w:b/>
          <w:noProof/>
          <w:lang w:eastAsia="hr-HR"/>
        </w:rPr>
        <w:tab/>
      </w:r>
      <w:r>
        <w:rPr>
          <w:b/>
          <w:noProof/>
          <w:lang w:eastAsia="hr-HR"/>
        </w:rPr>
        <w:tab/>
      </w:r>
      <w:r>
        <w:rPr>
          <w:b/>
          <w:noProof/>
          <w:lang w:eastAsia="hr-HR"/>
        </w:rPr>
        <w:tab/>
        <w:t xml:space="preserve">           dr.sc. Davor Božinović</w:t>
      </w:r>
      <w:bookmarkStart w:id="7" w:name="_GoBack"/>
      <w:bookmarkEnd w:id="7"/>
    </w:p>
    <w:p w:rsidR="00253AB6" w:rsidRDefault="00253AB6" w:rsidP="00253AB6">
      <w:pPr>
        <w:spacing w:line="360" w:lineRule="auto"/>
        <w:jc w:val="both"/>
        <w:rPr>
          <w:b/>
          <w:noProof/>
          <w:lang w:eastAsia="hr-HR"/>
        </w:rPr>
      </w:pPr>
    </w:p>
    <w:p w:rsidR="00E6243C" w:rsidRPr="003225E6" w:rsidRDefault="00E6243C" w:rsidP="00E6243C">
      <w:pPr>
        <w:spacing w:line="360" w:lineRule="auto"/>
        <w:jc w:val="both"/>
        <w:rPr>
          <w:noProof/>
          <w:lang w:eastAsia="hr-HR"/>
        </w:rPr>
      </w:pPr>
    </w:p>
    <w:p w:rsidR="00E6243C" w:rsidRPr="003225E6" w:rsidRDefault="00E6243C" w:rsidP="00E6243C">
      <w:pPr>
        <w:spacing w:line="360" w:lineRule="auto"/>
        <w:jc w:val="both"/>
        <w:rPr>
          <w:noProof/>
          <w:lang w:eastAsia="hr-HR"/>
        </w:rPr>
      </w:pPr>
    </w:p>
    <w:p w:rsidR="00B42A6E" w:rsidRDefault="00B42A6E" w:rsidP="005F1F60">
      <w:pPr>
        <w:keepNext/>
        <w:keepLines/>
        <w:spacing w:before="480" w:after="0" w:line="276" w:lineRule="auto"/>
        <w:outlineLvl w:val="0"/>
        <w:rPr>
          <w:b/>
        </w:rPr>
      </w:pPr>
    </w:p>
    <w:tbl>
      <w:tblPr>
        <w:tblW w:w="0" w:type="auto"/>
        <w:shd w:val="clear" w:color="auto" w:fill="365F91"/>
        <w:tblLook w:val="04A0" w:firstRow="1" w:lastRow="0" w:firstColumn="1" w:lastColumn="0" w:noHBand="0" w:noVBand="1"/>
      </w:tblPr>
      <w:tblGrid>
        <w:gridCol w:w="9070"/>
      </w:tblGrid>
      <w:tr w:rsidR="005F1F60" w:rsidTr="005F1F60">
        <w:trPr>
          <w:trHeight w:val="406"/>
        </w:trPr>
        <w:tc>
          <w:tcPr>
            <w:tcW w:w="9072" w:type="dxa"/>
            <w:shd w:val="clear" w:color="auto" w:fill="365F91"/>
            <w:vAlign w:val="center"/>
          </w:tcPr>
          <w:p w:rsidR="005F1F60" w:rsidRPr="00A21913" w:rsidRDefault="00A21913" w:rsidP="00A21913">
            <w:pPr>
              <w:keepNext/>
              <w:spacing w:after="0" w:line="276" w:lineRule="auto"/>
              <w:outlineLvl w:val="1"/>
              <w:rPr>
                <w:rFonts w:ascii="Arial" w:eastAsia="Times New Roman" w:hAnsi="Arial" w:cs="Arial"/>
                <w:b/>
                <w:bCs/>
                <w:color w:val="F2F2F2" w:themeColor="background1" w:themeShade="F2"/>
                <w:sz w:val="24"/>
                <w:szCs w:val="24"/>
                <w:lang w:eastAsia="hr-HR"/>
              </w:rPr>
            </w:pPr>
            <w:bookmarkStart w:id="8" w:name="_Toc61608699"/>
            <w:bookmarkStart w:id="9" w:name="_Toc65579930"/>
            <w:bookmarkStart w:id="10" w:name="_Toc96417908"/>
            <w:r>
              <w:rPr>
                <w:rFonts w:ascii="Arial" w:eastAsia="Times New Roman" w:hAnsi="Arial" w:cs="Arial"/>
                <w:b/>
                <w:bCs/>
                <w:color w:val="F2F2F2" w:themeColor="background1" w:themeShade="F2"/>
                <w:sz w:val="24"/>
                <w:szCs w:val="24"/>
                <w:lang w:eastAsia="hr-HR"/>
              </w:rPr>
              <w:t xml:space="preserve">    </w:t>
            </w:r>
            <w:bookmarkStart w:id="11" w:name="_Toc161385873"/>
            <w:bookmarkStart w:id="12" w:name="_Toc161385971"/>
            <w:r w:rsidRPr="00DD695E">
              <w:rPr>
                <w:rStyle w:val="NaslovChar"/>
                <w:rFonts w:eastAsiaTheme="minorHAnsi"/>
              </w:rPr>
              <w:t>2.</w:t>
            </w:r>
            <w:r>
              <w:rPr>
                <w:rFonts w:ascii="Arial" w:eastAsia="Times New Roman" w:hAnsi="Arial" w:cs="Arial"/>
                <w:b/>
                <w:bCs/>
                <w:color w:val="F2F2F2" w:themeColor="background1" w:themeShade="F2"/>
                <w:sz w:val="24"/>
                <w:szCs w:val="24"/>
                <w:lang w:eastAsia="hr-HR"/>
              </w:rPr>
              <w:t xml:space="preserve"> </w:t>
            </w:r>
            <w:r w:rsidR="005F1F60" w:rsidRPr="00DD695E">
              <w:rPr>
                <w:rStyle w:val="NaslovChar"/>
                <w:rFonts w:eastAsiaTheme="minorHAnsi"/>
              </w:rPr>
              <w:t>UVOD</w:t>
            </w:r>
            <w:bookmarkEnd w:id="8"/>
            <w:bookmarkEnd w:id="9"/>
            <w:bookmarkEnd w:id="10"/>
            <w:bookmarkEnd w:id="11"/>
            <w:bookmarkEnd w:id="12"/>
          </w:p>
        </w:tc>
      </w:tr>
    </w:tbl>
    <w:p w:rsidR="005F1F60" w:rsidRDefault="005F1F60" w:rsidP="005F1F60">
      <w:pPr>
        <w:tabs>
          <w:tab w:val="left" w:pos="1134"/>
        </w:tabs>
        <w:spacing w:after="0" w:line="276" w:lineRule="auto"/>
        <w:jc w:val="both"/>
        <w:rPr>
          <w:rFonts w:ascii="Arial" w:eastAsia="MS Mincho" w:hAnsi="Arial" w:cs="Arial"/>
          <w:bCs/>
          <w:sz w:val="24"/>
          <w:szCs w:val="24"/>
          <w:lang w:eastAsia="ja-JP"/>
        </w:rPr>
      </w:pPr>
    </w:p>
    <w:p w:rsidR="005F1F60" w:rsidRDefault="005F1F60" w:rsidP="005C66D5">
      <w:pPr>
        <w:tabs>
          <w:tab w:val="left" w:pos="1134"/>
        </w:tabs>
        <w:spacing w:after="0" w:line="360" w:lineRule="auto"/>
        <w:jc w:val="both"/>
        <w:rPr>
          <w:rFonts w:ascii="Arial" w:eastAsia="MS Mincho" w:hAnsi="Arial" w:cs="Arial"/>
          <w:bCs/>
          <w:sz w:val="24"/>
          <w:szCs w:val="24"/>
          <w:lang w:eastAsia="ja-JP"/>
        </w:rPr>
      </w:pPr>
    </w:p>
    <w:p w:rsidR="005F1F60" w:rsidRDefault="005F1F60" w:rsidP="005C66D5">
      <w:pPr>
        <w:tabs>
          <w:tab w:val="left" w:pos="1134"/>
        </w:tabs>
        <w:spacing w:after="0" w:line="360" w:lineRule="auto"/>
        <w:jc w:val="both"/>
        <w:rPr>
          <w:rFonts w:ascii="Arial" w:eastAsia="MS Mincho" w:hAnsi="Arial" w:cs="Arial"/>
          <w:bCs/>
          <w:lang w:eastAsia="ja-JP"/>
        </w:rPr>
      </w:pPr>
      <w:r>
        <w:rPr>
          <w:rFonts w:ascii="Arial" w:eastAsia="MS Mincho" w:hAnsi="Arial" w:cs="Arial"/>
          <w:bCs/>
          <w:lang w:eastAsia="ja-JP"/>
        </w:rPr>
        <w:t>Godišnji plan rada za 202</w:t>
      </w:r>
      <w:r w:rsidR="00E45D78">
        <w:rPr>
          <w:rFonts w:ascii="Arial" w:eastAsia="MS Mincho" w:hAnsi="Arial" w:cs="Arial"/>
          <w:bCs/>
          <w:lang w:eastAsia="ja-JP"/>
        </w:rPr>
        <w:t>3</w:t>
      </w:r>
      <w:r>
        <w:rPr>
          <w:rFonts w:ascii="Arial" w:eastAsia="MS Mincho" w:hAnsi="Arial" w:cs="Arial"/>
          <w:bCs/>
          <w:lang w:eastAsia="ja-JP"/>
        </w:rPr>
        <w:t>. godinu Ministarstva unutarnjih poslova kao i u svim tijelima državne uprave, izrađuje se na temelju članka 24. Uredbe o općim pravilima za unutarnje ustrojstvo tijela državne uprave (NN 70/19), a u skladu s Uputom Ministarstva pravosuđa i uprave (prosinac 2020.).</w:t>
      </w:r>
    </w:p>
    <w:p w:rsidR="005F1F60" w:rsidRDefault="005F1F60" w:rsidP="005C66D5">
      <w:pPr>
        <w:tabs>
          <w:tab w:val="left" w:pos="1134"/>
        </w:tabs>
        <w:spacing w:after="0" w:line="360" w:lineRule="auto"/>
        <w:jc w:val="both"/>
        <w:rPr>
          <w:rFonts w:ascii="Arial" w:eastAsia="MS Mincho" w:hAnsi="Arial" w:cs="Arial"/>
          <w:bCs/>
          <w:lang w:eastAsia="ja-JP"/>
        </w:rPr>
      </w:pPr>
    </w:p>
    <w:p w:rsidR="005F1F60" w:rsidRDefault="005F1F60" w:rsidP="005C66D5">
      <w:pPr>
        <w:tabs>
          <w:tab w:val="left" w:pos="1134"/>
        </w:tabs>
        <w:spacing w:after="0" w:line="360" w:lineRule="auto"/>
        <w:jc w:val="both"/>
        <w:rPr>
          <w:rFonts w:ascii="Arial" w:eastAsia="MS Mincho" w:hAnsi="Arial" w:cs="Arial"/>
          <w:bCs/>
          <w:lang w:eastAsia="ja-JP"/>
        </w:rPr>
      </w:pPr>
      <w:r>
        <w:rPr>
          <w:rFonts w:ascii="Arial" w:eastAsia="MS Mincho" w:hAnsi="Arial" w:cs="Arial"/>
          <w:bCs/>
          <w:lang w:eastAsia="ja-JP"/>
        </w:rPr>
        <w:t>Godišnji plan rada je plansko – upravljački provedbeni akt koji sadrži podatke o  mjerama koje se pla</w:t>
      </w:r>
      <w:r w:rsidR="00380EDE">
        <w:rPr>
          <w:rFonts w:ascii="Arial" w:eastAsia="MS Mincho" w:hAnsi="Arial" w:cs="Arial"/>
          <w:bCs/>
          <w:lang w:eastAsia="ja-JP"/>
        </w:rPr>
        <w:t>niraju ostvariti u Ministarstvu unutarnjih poslova</w:t>
      </w:r>
      <w:r>
        <w:rPr>
          <w:rFonts w:ascii="Arial" w:eastAsia="MS Mincho" w:hAnsi="Arial" w:cs="Arial"/>
          <w:bCs/>
          <w:lang w:eastAsia="ja-JP"/>
        </w:rPr>
        <w:t xml:space="preserve"> </w:t>
      </w:r>
      <w:r w:rsidR="00380EDE" w:rsidRPr="00380EDE">
        <w:rPr>
          <w:rFonts w:ascii="Arial" w:eastAsia="MS Mincho" w:hAnsi="Arial" w:cs="Arial"/>
          <w:bCs/>
          <w:lang w:eastAsia="ja-JP"/>
        </w:rPr>
        <w:t xml:space="preserve">(u daljnjem tekstu: Ministarstvo), </w:t>
      </w:r>
      <w:r w:rsidRPr="00380EDE">
        <w:rPr>
          <w:rFonts w:ascii="Arial" w:eastAsia="MS Mincho" w:hAnsi="Arial" w:cs="Arial"/>
          <w:bCs/>
          <w:lang w:eastAsia="ja-JP"/>
        </w:rPr>
        <w:t xml:space="preserve"> dokument</w:t>
      </w:r>
      <w:r>
        <w:rPr>
          <w:rFonts w:ascii="Arial" w:eastAsia="MS Mincho" w:hAnsi="Arial" w:cs="Arial"/>
          <w:bCs/>
          <w:lang w:eastAsia="ja-JP"/>
        </w:rPr>
        <w:t xml:space="preserve"> koji na godišnjoj razini opisuje planirane poslove povezane s djelokrugom i ustrojstvom Ministarstva te aktivnosti za provedbu mjera sadržanih u kratkoročnim aktima strateškog planiranja (provedbeni program, akcijski planovi). Izrađen je temeljem Zakona o sustavu strateškog planiranja i upravljanja razvojem Republike Hrvatske (NN 123/17)</w:t>
      </w:r>
      <w:r w:rsidR="00AF33FB">
        <w:rPr>
          <w:rFonts w:ascii="Arial" w:eastAsia="MS Mincho" w:hAnsi="Arial" w:cs="Arial"/>
          <w:bCs/>
          <w:lang w:eastAsia="ja-JP"/>
        </w:rPr>
        <w:t xml:space="preserve"> i Zakona o izmjenama i dopunama Zakona o sustavu strateškog planiranja i </w:t>
      </w:r>
      <w:r w:rsidR="00AD22C9">
        <w:rPr>
          <w:rFonts w:ascii="Arial" w:eastAsia="MS Mincho" w:hAnsi="Arial" w:cs="Arial"/>
          <w:bCs/>
          <w:lang w:eastAsia="ja-JP"/>
        </w:rPr>
        <w:t>u</w:t>
      </w:r>
      <w:r w:rsidR="00AF33FB">
        <w:rPr>
          <w:rFonts w:ascii="Arial" w:eastAsia="MS Mincho" w:hAnsi="Arial" w:cs="Arial"/>
          <w:bCs/>
          <w:lang w:eastAsia="ja-JP"/>
        </w:rPr>
        <w:t>pravljanja</w:t>
      </w:r>
      <w:r w:rsidR="00AD22C9">
        <w:rPr>
          <w:rFonts w:ascii="Arial" w:eastAsia="MS Mincho" w:hAnsi="Arial" w:cs="Arial"/>
          <w:bCs/>
          <w:lang w:eastAsia="ja-JP"/>
        </w:rPr>
        <w:t xml:space="preserve"> razvojem  Republike Hrvatske (NN 151/22),</w:t>
      </w:r>
      <w:r w:rsidR="00AF33FB">
        <w:rPr>
          <w:rFonts w:ascii="Arial" w:eastAsia="MS Mincho" w:hAnsi="Arial" w:cs="Arial"/>
          <w:bCs/>
          <w:lang w:eastAsia="ja-JP"/>
        </w:rPr>
        <w:t xml:space="preserve">  </w:t>
      </w:r>
      <w:r>
        <w:rPr>
          <w:rFonts w:ascii="Arial" w:eastAsia="MS Mincho" w:hAnsi="Arial" w:cs="Arial"/>
          <w:bCs/>
          <w:lang w:eastAsia="ja-JP"/>
        </w:rPr>
        <w:t xml:space="preserve"> te osiguranim sredstvima u proračunu i drugim raspoloživim resursima.</w:t>
      </w:r>
    </w:p>
    <w:p w:rsidR="005F1F60" w:rsidRDefault="005F1F60" w:rsidP="005C66D5">
      <w:pPr>
        <w:tabs>
          <w:tab w:val="left" w:pos="1134"/>
        </w:tabs>
        <w:spacing w:after="0" w:line="360" w:lineRule="auto"/>
        <w:jc w:val="both"/>
        <w:rPr>
          <w:rFonts w:ascii="Arial" w:eastAsia="MS Mincho" w:hAnsi="Arial" w:cs="Arial"/>
          <w:bCs/>
          <w:lang w:eastAsia="ja-JP"/>
        </w:rPr>
      </w:pPr>
    </w:p>
    <w:p w:rsidR="005F1F60" w:rsidRDefault="005F1F60" w:rsidP="005C66D5">
      <w:pPr>
        <w:tabs>
          <w:tab w:val="left" w:pos="1134"/>
        </w:tabs>
        <w:spacing w:after="0" w:line="360" w:lineRule="auto"/>
        <w:jc w:val="both"/>
        <w:rPr>
          <w:rFonts w:ascii="Arial" w:eastAsia="MS Mincho" w:hAnsi="Arial" w:cs="Arial"/>
          <w:bCs/>
          <w:lang w:eastAsia="ja-JP"/>
        </w:rPr>
      </w:pPr>
      <w:r>
        <w:rPr>
          <w:rFonts w:ascii="Arial" w:eastAsia="MS Mincho" w:hAnsi="Arial" w:cs="Arial"/>
          <w:bCs/>
          <w:lang w:eastAsia="ja-JP"/>
        </w:rPr>
        <w:t>Godišnji plan rada</w:t>
      </w:r>
      <w:r w:rsidR="00380EDE">
        <w:rPr>
          <w:rFonts w:ascii="Arial" w:eastAsia="MS Mincho" w:hAnsi="Arial" w:cs="Arial"/>
          <w:bCs/>
          <w:lang w:eastAsia="ja-JP"/>
        </w:rPr>
        <w:t xml:space="preserve"> ministarstva </w:t>
      </w:r>
      <w:r>
        <w:rPr>
          <w:rFonts w:ascii="Arial" w:eastAsia="MS Mincho" w:hAnsi="Arial" w:cs="Arial"/>
          <w:bCs/>
          <w:lang w:eastAsia="ja-JP"/>
        </w:rPr>
        <w:t>je razrada Provedbenog programa Ministarstva</w:t>
      </w:r>
      <w:r w:rsidR="00380EDE">
        <w:rPr>
          <w:rFonts w:ascii="Arial" w:eastAsia="MS Mincho" w:hAnsi="Arial" w:cs="Arial"/>
          <w:bCs/>
          <w:lang w:eastAsia="ja-JP"/>
        </w:rPr>
        <w:t xml:space="preserve"> unutarnjih poslova za razdoblje 2021. – 2024. </w:t>
      </w:r>
      <w:r>
        <w:rPr>
          <w:rFonts w:ascii="Arial" w:eastAsia="MS Mincho" w:hAnsi="Arial" w:cs="Arial"/>
          <w:bCs/>
          <w:lang w:eastAsia="ja-JP"/>
        </w:rPr>
        <w:t xml:space="preserve"> na godišnjoj razini na način da su sve aktivnosti povezane sa mjerama definiranim u Provedbenom programu.</w:t>
      </w:r>
    </w:p>
    <w:p w:rsidR="00E6243C" w:rsidRDefault="00E6243C" w:rsidP="005C66D5">
      <w:pPr>
        <w:tabs>
          <w:tab w:val="left" w:pos="1134"/>
        </w:tabs>
        <w:spacing w:after="0" w:line="360" w:lineRule="auto"/>
        <w:jc w:val="both"/>
        <w:rPr>
          <w:rFonts w:ascii="Arial" w:eastAsia="MS Mincho" w:hAnsi="Arial" w:cs="Arial"/>
          <w:bCs/>
          <w:sz w:val="24"/>
          <w:szCs w:val="24"/>
          <w:lang w:eastAsia="ja-JP"/>
        </w:rPr>
      </w:pPr>
    </w:p>
    <w:p w:rsidR="005F1F60" w:rsidRDefault="005F1F60" w:rsidP="005C66D5">
      <w:pPr>
        <w:tabs>
          <w:tab w:val="left" w:pos="1134"/>
        </w:tabs>
        <w:spacing w:after="0" w:line="360" w:lineRule="auto"/>
        <w:jc w:val="both"/>
        <w:rPr>
          <w:rFonts w:ascii="Arial" w:eastAsia="MS Mincho" w:hAnsi="Arial" w:cs="Arial"/>
          <w:bCs/>
          <w:sz w:val="24"/>
          <w:szCs w:val="24"/>
          <w:lang w:eastAsia="ja-JP"/>
        </w:rPr>
      </w:pPr>
    </w:p>
    <w:tbl>
      <w:tblPr>
        <w:tblW w:w="0" w:type="auto"/>
        <w:shd w:val="clear" w:color="auto" w:fill="365F91"/>
        <w:tblLook w:val="04A0" w:firstRow="1" w:lastRow="0" w:firstColumn="1" w:lastColumn="0" w:noHBand="0" w:noVBand="1"/>
      </w:tblPr>
      <w:tblGrid>
        <w:gridCol w:w="9070"/>
      </w:tblGrid>
      <w:tr w:rsidR="005F1F60" w:rsidTr="005F1F60">
        <w:trPr>
          <w:trHeight w:val="406"/>
        </w:trPr>
        <w:tc>
          <w:tcPr>
            <w:tcW w:w="9070" w:type="dxa"/>
            <w:shd w:val="clear" w:color="auto" w:fill="365F91"/>
            <w:vAlign w:val="center"/>
            <w:hideMark/>
          </w:tcPr>
          <w:p w:rsidR="005F1F60" w:rsidRDefault="00844F3A" w:rsidP="005C66D5">
            <w:pPr>
              <w:keepNext/>
              <w:keepLines/>
              <w:spacing w:before="40" w:after="0" w:line="360" w:lineRule="auto"/>
              <w:jc w:val="center"/>
              <w:outlineLvl w:val="1"/>
              <w:rPr>
                <w:rFonts w:ascii="Arial" w:eastAsia="Times New Roman" w:hAnsi="Arial" w:cs="Arial"/>
                <w:color w:val="FFFFFF" w:themeColor="background1"/>
                <w:sz w:val="24"/>
                <w:szCs w:val="26"/>
                <w:lang w:eastAsia="hr-HR"/>
              </w:rPr>
            </w:pPr>
            <w:bookmarkStart w:id="13" w:name="_Toc65579931"/>
            <w:bookmarkStart w:id="14" w:name="_Toc96417909"/>
            <w:bookmarkStart w:id="15" w:name="_Toc161385874"/>
            <w:bookmarkStart w:id="16" w:name="_Toc161385972"/>
            <w:r>
              <w:rPr>
                <w:rFonts w:ascii="Arial" w:eastAsia="Times New Roman" w:hAnsi="Arial" w:cs="Arial"/>
                <w:color w:val="FFFFFF" w:themeColor="background1"/>
                <w:sz w:val="24"/>
                <w:szCs w:val="26"/>
                <w:lang w:eastAsia="hr-HR"/>
              </w:rPr>
              <w:t>a.</w:t>
            </w:r>
            <w:r w:rsidR="005F1F60">
              <w:rPr>
                <w:rFonts w:ascii="Arial" w:eastAsia="Times New Roman" w:hAnsi="Arial" w:cs="Arial"/>
                <w:color w:val="FFFFFF" w:themeColor="background1"/>
                <w:sz w:val="24"/>
                <w:szCs w:val="26"/>
                <w:lang w:eastAsia="hr-HR"/>
              </w:rPr>
              <w:t xml:space="preserve"> Djelokrug</w:t>
            </w:r>
            <w:bookmarkEnd w:id="13"/>
            <w:bookmarkEnd w:id="14"/>
            <w:bookmarkEnd w:id="15"/>
            <w:bookmarkEnd w:id="16"/>
          </w:p>
        </w:tc>
      </w:tr>
    </w:tbl>
    <w:p w:rsidR="005F1F60" w:rsidRDefault="005F1F60" w:rsidP="005C66D5">
      <w:pPr>
        <w:spacing w:line="360" w:lineRule="auto"/>
        <w:jc w:val="center"/>
        <w:rPr>
          <w:rFonts w:ascii="Arial" w:hAnsi="Arial" w:cs="Arial"/>
        </w:rPr>
      </w:pPr>
    </w:p>
    <w:p w:rsidR="005F1F60" w:rsidRDefault="005F1F60" w:rsidP="005C66D5">
      <w:pPr>
        <w:pStyle w:val="box465012"/>
        <w:spacing w:before="0" w:beforeAutospacing="0" w:after="48" w:afterAutospacing="0" w:line="360" w:lineRule="auto"/>
        <w:jc w:val="both"/>
        <w:textAlignment w:val="baseline"/>
        <w:rPr>
          <w:rFonts w:ascii="Arial" w:hAnsi="Arial" w:cs="Arial"/>
          <w:color w:val="231F20"/>
          <w:sz w:val="22"/>
          <w:szCs w:val="22"/>
        </w:rPr>
      </w:pPr>
      <w:r>
        <w:rPr>
          <w:rFonts w:ascii="Arial" w:hAnsi="Arial" w:cs="Arial"/>
          <w:color w:val="231F20"/>
          <w:sz w:val="22"/>
          <w:szCs w:val="22"/>
        </w:rPr>
        <w:t xml:space="preserve">Ministarstvo unutarnjih poslova </w:t>
      </w:r>
      <w:r w:rsidR="00E45D78">
        <w:rPr>
          <w:rFonts w:ascii="Arial" w:hAnsi="Arial" w:cs="Arial"/>
          <w:color w:val="231F20"/>
          <w:sz w:val="22"/>
          <w:szCs w:val="22"/>
        </w:rPr>
        <w:t xml:space="preserve">temeljem Zakona o ustrojstvu i djelokrugu tijela državne uprave (NN 85/20) </w:t>
      </w:r>
      <w:r>
        <w:rPr>
          <w:rFonts w:ascii="Arial" w:hAnsi="Arial" w:cs="Arial"/>
          <w:color w:val="231F20"/>
          <w:sz w:val="22"/>
          <w:szCs w:val="22"/>
        </w:rPr>
        <w:t xml:space="preserve">obavlja upravne i druge poslove koji se odnose na: poslove policije i kriminalističke policije, i to zaštitu života i osobnu sigurnost ljudi i imovine, sprječavanje i otkrivanje kaznenih djela; pronalaženje i hvatanje počinitelja kaznenih djela i njihovo privođenje nadležnim tijelima; održavanje javnog reda i mira te zaštitu određenih osoba, građevina i prostora; obavljanje kriminalističko-tehničkih poslova i vještačenja; poslove sigurnosti prometa na cestama; nadzor državne granice; kretanje i boravak stranaca te njihova prihvata; putne isprave za prelazak preko državne granice; održavanje javnih okupljanja; državljanstvo; izdavanje osobnih iskaznica, prijavljivanje prebivališta i boravišta građana; izdavanje vozačkih dozvola i registracije motornih vozila; nabavu, držanje i nošenje oružja i streljiva; poslove zaštite od </w:t>
      </w:r>
      <w:r>
        <w:rPr>
          <w:rFonts w:ascii="Arial" w:hAnsi="Arial" w:cs="Arial"/>
          <w:color w:val="231F20"/>
          <w:sz w:val="22"/>
          <w:szCs w:val="22"/>
        </w:rPr>
        <w:lastRenderedPageBreak/>
        <w:t xml:space="preserve">požara, privatne zaštite, privatnih detektiva, zaštite novčarskih institucija, </w:t>
      </w:r>
      <w:proofErr w:type="spellStart"/>
      <w:r>
        <w:rPr>
          <w:rFonts w:ascii="Arial" w:hAnsi="Arial" w:cs="Arial"/>
          <w:color w:val="231F20"/>
          <w:sz w:val="22"/>
          <w:szCs w:val="22"/>
        </w:rPr>
        <w:t>protuminskog</w:t>
      </w:r>
      <w:proofErr w:type="spellEnd"/>
      <w:r>
        <w:rPr>
          <w:rFonts w:ascii="Arial" w:hAnsi="Arial" w:cs="Arial"/>
          <w:color w:val="231F20"/>
          <w:sz w:val="22"/>
          <w:szCs w:val="22"/>
        </w:rPr>
        <w:t xml:space="preserve"> djelovanja te poslove vezane uz eksplozivne tvari i proizvodnju i promet oružja; poslove specijalne policije.</w:t>
      </w:r>
    </w:p>
    <w:p w:rsidR="005C66D5" w:rsidRDefault="005C66D5" w:rsidP="005C66D5">
      <w:pPr>
        <w:pStyle w:val="box465012"/>
        <w:spacing w:before="0" w:beforeAutospacing="0" w:after="48" w:afterAutospacing="0" w:line="360" w:lineRule="auto"/>
        <w:jc w:val="both"/>
        <w:textAlignment w:val="baseline"/>
        <w:rPr>
          <w:rFonts w:ascii="Arial" w:hAnsi="Arial" w:cs="Arial"/>
          <w:color w:val="231F20"/>
          <w:sz w:val="22"/>
          <w:szCs w:val="22"/>
        </w:rPr>
      </w:pPr>
    </w:p>
    <w:p w:rsidR="005F1F60" w:rsidRDefault="005F1F60" w:rsidP="005C66D5">
      <w:pPr>
        <w:pStyle w:val="box465012"/>
        <w:spacing w:before="0" w:beforeAutospacing="0" w:after="48" w:afterAutospacing="0" w:line="360" w:lineRule="auto"/>
        <w:jc w:val="both"/>
        <w:textAlignment w:val="baseline"/>
        <w:rPr>
          <w:rFonts w:ascii="Arial" w:hAnsi="Arial" w:cs="Arial"/>
          <w:color w:val="231F20"/>
          <w:sz w:val="22"/>
          <w:szCs w:val="22"/>
        </w:rPr>
      </w:pPr>
      <w:r>
        <w:rPr>
          <w:rFonts w:ascii="Arial" w:hAnsi="Arial" w:cs="Arial"/>
          <w:color w:val="231F20"/>
          <w:sz w:val="22"/>
          <w:szCs w:val="22"/>
        </w:rPr>
        <w:t>Ministarstvo obavlja upravne i stručne poslove koji se odnose na: uspostavu sustava civilne zaštite, spašavanja građana, materijalnih dobara i drugih dobara u velikim nesrećama i katastrofama; organizira sudionike, operativne snage i građane za ostvarivanje zaštite i spašavanja ljudi, životinja, materijalnih i kulturnih dobara i okoliša u velikim nesrećama i katastrofama i otklanjanja posljedica terorizma i ratnih razaranja; osposobljava i usavršava sudionike zaštite i spašavanja, pruža nužnu pomoć radi otklanjanja posljedica u slučaju opće opasnosti prouzročene elementarnim nepogodama, epidemijama i drugim katastrofama; provodi poslove, mjere i aktivnosti civilne zaštite; upravlja sustavom uzbunjivanja i obavješćivanja te obavlja međunarodnu suradnju u području civilne zaštite.</w:t>
      </w:r>
    </w:p>
    <w:p w:rsidR="005F1F60" w:rsidRDefault="005F1F60" w:rsidP="005C66D5">
      <w:pPr>
        <w:pStyle w:val="box465012"/>
        <w:spacing w:before="0" w:beforeAutospacing="0" w:after="48" w:afterAutospacing="0" w:line="360" w:lineRule="auto"/>
        <w:jc w:val="both"/>
        <w:textAlignment w:val="baseline"/>
        <w:rPr>
          <w:rFonts w:ascii="Arial" w:hAnsi="Arial" w:cs="Arial"/>
          <w:color w:val="231F20"/>
          <w:sz w:val="22"/>
          <w:szCs w:val="22"/>
        </w:rPr>
      </w:pPr>
    </w:p>
    <w:p w:rsidR="005F1F60" w:rsidRDefault="005F1F60" w:rsidP="005C66D5">
      <w:pPr>
        <w:pStyle w:val="box465012"/>
        <w:spacing w:before="0" w:beforeAutospacing="0" w:after="48" w:afterAutospacing="0" w:line="360" w:lineRule="auto"/>
        <w:jc w:val="both"/>
        <w:textAlignment w:val="baseline"/>
        <w:rPr>
          <w:rFonts w:ascii="Arial" w:hAnsi="Arial" w:cs="Arial"/>
          <w:color w:val="231F20"/>
          <w:sz w:val="22"/>
          <w:szCs w:val="22"/>
        </w:rPr>
      </w:pPr>
      <w:r>
        <w:rPr>
          <w:rFonts w:ascii="Arial" w:hAnsi="Arial" w:cs="Arial"/>
          <w:color w:val="231F20"/>
          <w:sz w:val="22"/>
          <w:szCs w:val="22"/>
        </w:rPr>
        <w:t xml:space="preserve">Ministarstvo obavlja inspekcijske poslove u području civilne zaštite, zaštite od požara, proizvodnje i prometa eksplozivnih tvari i oružja, privatne zaštite i detektivskih poslova, radiološke i nuklearne sigurnosti te </w:t>
      </w:r>
      <w:proofErr w:type="spellStart"/>
      <w:r>
        <w:rPr>
          <w:rFonts w:ascii="Arial" w:hAnsi="Arial" w:cs="Arial"/>
          <w:color w:val="231F20"/>
          <w:sz w:val="22"/>
          <w:szCs w:val="22"/>
        </w:rPr>
        <w:t>protuminskog</w:t>
      </w:r>
      <w:proofErr w:type="spellEnd"/>
      <w:r>
        <w:rPr>
          <w:rFonts w:ascii="Arial" w:hAnsi="Arial" w:cs="Arial"/>
          <w:color w:val="231F20"/>
          <w:sz w:val="22"/>
          <w:szCs w:val="22"/>
        </w:rPr>
        <w:t xml:space="preserve"> djelovanja.</w:t>
      </w:r>
    </w:p>
    <w:p w:rsidR="005F1F60" w:rsidRDefault="005F1F60" w:rsidP="005C66D5">
      <w:pPr>
        <w:pStyle w:val="box465012"/>
        <w:spacing w:before="0" w:beforeAutospacing="0" w:after="48" w:afterAutospacing="0" w:line="360" w:lineRule="auto"/>
        <w:jc w:val="both"/>
        <w:textAlignment w:val="baseline"/>
        <w:rPr>
          <w:rFonts w:ascii="Arial" w:hAnsi="Arial" w:cs="Arial"/>
          <w:color w:val="231F20"/>
          <w:sz w:val="22"/>
          <w:szCs w:val="22"/>
        </w:rPr>
      </w:pPr>
    </w:p>
    <w:p w:rsidR="005F1F60" w:rsidRDefault="005F1F60" w:rsidP="005C66D5">
      <w:pPr>
        <w:pStyle w:val="box465012"/>
        <w:spacing w:before="0" w:beforeAutospacing="0" w:after="48" w:afterAutospacing="0" w:line="360" w:lineRule="auto"/>
        <w:jc w:val="both"/>
        <w:textAlignment w:val="baseline"/>
        <w:rPr>
          <w:rFonts w:ascii="Arial" w:hAnsi="Arial" w:cs="Arial"/>
          <w:color w:val="231F20"/>
          <w:sz w:val="22"/>
          <w:szCs w:val="22"/>
        </w:rPr>
      </w:pPr>
      <w:r>
        <w:rPr>
          <w:rFonts w:ascii="Arial" w:hAnsi="Arial" w:cs="Arial"/>
          <w:color w:val="231F20"/>
          <w:sz w:val="22"/>
          <w:szCs w:val="22"/>
        </w:rPr>
        <w:t>Ministarstvo obavlja upravne i stručne poslove koji se odnose na: izdavanje dozvola za obavljanje nuklearne djelatnosti; provođenje nezavisne analize sigurnosti; izdavanje rješenja, suglasnosti odnosno posebnih uvjeta za smještaj, projektiranje, gradnju, uporabu te razgradnju objekta u kojem se obavlja nuklearna djelatnost; praćenje tehnologije razgradnje nuklearnih elektrana i zbrinjavanja radioaktivnog otpada podrijetlom iz nuklearnih elektrana ili istrošenog nuklearnog goriva; vođenje očevidnika o rješenjima i suglasnostima; vođenje registra nuklearnih djelatnosti i materijala; izdavanje odobrenja za prijevoz i provoz izvora ionizirajućeg zračenja; vođenje i nadziranje evidencije o prijevozu i provozu izvora ionizirajućeg zračenja; ovlašćivanje izvršitelja za nuklearnu sigurnost; obavljanje poslova vezanih uz sigurnost radioaktivnih izvora, nuklearnog materijala i nuklearnih objekata te radioaktivnog otpada; praćenje stanja sigurnosti nuklearnih postrojenja u regiji i provođenje procjene opasnosti od mogućih nuklearnih nesreća u njima.</w:t>
      </w:r>
    </w:p>
    <w:p w:rsidR="005F1F60" w:rsidRDefault="005F1F60" w:rsidP="005C66D5">
      <w:pPr>
        <w:pStyle w:val="box465012"/>
        <w:spacing w:before="0" w:beforeAutospacing="0" w:after="48" w:afterAutospacing="0" w:line="360" w:lineRule="auto"/>
        <w:jc w:val="both"/>
        <w:textAlignment w:val="baseline"/>
        <w:rPr>
          <w:rFonts w:ascii="Arial" w:hAnsi="Arial" w:cs="Arial"/>
          <w:color w:val="231F20"/>
          <w:sz w:val="22"/>
          <w:szCs w:val="22"/>
        </w:rPr>
      </w:pPr>
    </w:p>
    <w:p w:rsidR="005F1F60" w:rsidRDefault="005F1F60" w:rsidP="005C66D5">
      <w:pPr>
        <w:pStyle w:val="box465012"/>
        <w:spacing w:before="0" w:beforeAutospacing="0" w:after="48" w:afterAutospacing="0" w:line="360" w:lineRule="auto"/>
        <w:jc w:val="both"/>
        <w:textAlignment w:val="baseline"/>
        <w:rPr>
          <w:rFonts w:ascii="Arial" w:hAnsi="Arial" w:cs="Arial"/>
          <w:color w:val="231F20"/>
          <w:sz w:val="22"/>
          <w:szCs w:val="22"/>
        </w:rPr>
      </w:pPr>
      <w:r>
        <w:rPr>
          <w:rFonts w:ascii="Arial" w:hAnsi="Arial" w:cs="Arial"/>
          <w:color w:val="231F20"/>
          <w:sz w:val="22"/>
          <w:szCs w:val="22"/>
        </w:rPr>
        <w:t xml:space="preserve">Ministarstvo obavlja upravne i stručne poslove koji se odnose na: oblikovanje standarda i metoda u praćenju stanja zaštite od ionizirajućeg zračenja; davanje odobrenja za obavljanje djelatnosti s izvorima ionizirajućeg zračenja te davanje dozvola za nabavu, uvoz, izvoz i uporabu izvora ionizirajućeg zračenja; ovlašćivanje stručnih tehničkih servisa za obavljanje stručnih poslova zaštite od ionizirajućeg zračenja; davanja dozimetrijske procjene izloženosti </w:t>
      </w:r>
      <w:r>
        <w:rPr>
          <w:rFonts w:ascii="Arial" w:hAnsi="Arial" w:cs="Arial"/>
          <w:color w:val="231F20"/>
          <w:sz w:val="22"/>
          <w:szCs w:val="22"/>
        </w:rPr>
        <w:lastRenderedPageBreak/>
        <w:t xml:space="preserve">ionizirajućem zračenju izloženih radnika i stanovništva od medicinskog izlaganja prilikom dijagnostičkih i terapijskih postupaka; vođenje očevidnika o odobrenjima, dozvolama, suglasnostima, rješenjima i potvrdama te vođenje i nadziranje očevidnika o izvorima ionizirajućeg zračenja, nositeljima odobrenja za obavljanje djelatnosti s izvorima ionizirajućeg zračenja, korisnicima, izloženim radnicima, stupnju ozračenosti izloženih radnika te stupnju ozračenosti osoba izloženih medicinskom </w:t>
      </w:r>
      <w:proofErr w:type="spellStart"/>
      <w:r>
        <w:rPr>
          <w:rFonts w:ascii="Arial" w:hAnsi="Arial" w:cs="Arial"/>
          <w:color w:val="231F20"/>
          <w:sz w:val="22"/>
          <w:szCs w:val="22"/>
        </w:rPr>
        <w:t>ozračenju</w:t>
      </w:r>
      <w:proofErr w:type="spellEnd"/>
      <w:r>
        <w:rPr>
          <w:rFonts w:ascii="Arial" w:hAnsi="Arial" w:cs="Arial"/>
          <w:color w:val="231F20"/>
          <w:sz w:val="22"/>
          <w:szCs w:val="22"/>
        </w:rPr>
        <w:t xml:space="preserve"> i drugih osoba; sudjelovanje u postupku izdavanja lokacijske dozvole, građevinske dozvole, dozvole za uklanjanje i izdavanje uporabne dozvole za građevine u kojima su smješteni izvori ionizirajućeg zračenja ili se obavlja djelatnost s izvorima ionizirajućeg zračenja; izrađivanje stručnih podloga za nastavne programe i planove za redovito i dopunsko obrazovanje te obnovu znanja iz područja zaštite od ionizirajućeg zračenja; utvrđivanje udovoljavanja pravnih osoba propisanim uvjetima za organizaciju i provedbu dopunskog obrazovanja i obnove znanja o primjeni mjera zaštite od ionizirajućeg zračenja; poredbena ispitivanja među ovlaštenim stručnim tehničkim servisima koji provode mjerenje osobnog </w:t>
      </w:r>
      <w:proofErr w:type="spellStart"/>
      <w:r>
        <w:rPr>
          <w:rFonts w:ascii="Arial" w:hAnsi="Arial" w:cs="Arial"/>
          <w:color w:val="231F20"/>
          <w:sz w:val="22"/>
          <w:szCs w:val="22"/>
        </w:rPr>
        <w:t>ozračenja</w:t>
      </w:r>
      <w:proofErr w:type="spellEnd"/>
      <w:r>
        <w:rPr>
          <w:rFonts w:ascii="Arial" w:hAnsi="Arial" w:cs="Arial"/>
          <w:color w:val="231F20"/>
          <w:sz w:val="22"/>
          <w:szCs w:val="22"/>
        </w:rPr>
        <w:t xml:space="preserve">; organizaciju, a po potrebi i provođenje ispitivanja prisutnosti vrste i jakosti ionizirajućeg zračenja u okolišu, ljudskoj i stočnoj hrani, lijekovima i predmetima opće uporabe u redovitim uvjetima te u slučaju sumnje na izvanredni događaj; procjenu izloženosti stanovništva od izlaganja ionizirajućem zračenju od </w:t>
      </w:r>
      <w:proofErr w:type="spellStart"/>
      <w:r>
        <w:rPr>
          <w:rFonts w:ascii="Arial" w:hAnsi="Arial" w:cs="Arial"/>
          <w:color w:val="231F20"/>
          <w:sz w:val="22"/>
          <w:szCs w:val="22"/>
        </w:rPr>
        <w:t>radionuklida</w:t>
      </w:r>
      <w:proofErr w:type="spellEnd"/>
      <w:r>
        <w:rPr>
          <w:rFonts w:ascii="Arial" w:hAnsi="Arial" w:cs="Arial"/>
          <w:color w:val="231F20"/>
          <w:sz w:val="22"/>
          <w:szCs w:val="22"/>
        </w:rPr>
        <w:t xml:space="preserve"> iz okoliša; praćenje izloženosti </w:t>
      </w:r>
      <w:proofErr w:type="spellStart"/>
      <w:r>
        <w:rPr>
          <w:rFonts w:ascii="Arial" w:hAnsi="Arial" w:cs="Arial"/>
          <w:color w:val="231F20"/>
          <w:sz w:val="22"/>
          <w:szCs w:val="22"/>
        </w:rPr>
        <w:t>radionuklidima</w:t>
      </w:r>
      <w:proofErr w:type="spellEnd"/>
      <w:r>
        <w:rPr>
          <w:rFonts w:ascii="Arial" w:hAnsi="Arial" w:cs="Arial"/>
          <w:color w:val="231F20"/>
          <w:sz w:val="22"/>
          <w:szCs w:val="22"/>
        </w:rPr>
        <w:t xml:space="preserve"> nastalim u radnim aktivnostima i njihova ispuštanja u okoliš; vođenje evidencija o stanju radioaktivnosti u okolišu; izvještavanje o stanju radioaktivnosti u okolišu; davanja odobrenja za djelatnosti s radioaktivnim otpadom, vođenje i nadziranje evidencija o radioaktivnom otpadu.</w:t>
      </w:r>
    </w:p>
    <w:p w:rsidR="005F1F60" w:rsidRDefault="005F1F60" w:rsidP="005C66D5">
      <w:pPr>
        <w:pStyle w:val="box465012"/>
        <w:spacing w:before="0" w:beforeAutospacing="0" w:after="48" w:afterAutospacing="0" w:line="360" w:lineRule="auto"/>
        <w:jc w:val="both"/>
        <w:textAlignment w:val="baseline"/>
        <w:rPr>
          <w:rFonts w:ascii="Arial" w:hAnsi="Arial" w:cs="Arial"/>
          <w:color w:val="231F20"/>
          <w:sz w:val="22"/>
          <w:szCs w:val="22"/>
        </w:rPr>
      </w:pPr>
    </w:p>
    <w:p w:rsidR="005F1F60" w:rsidRDefault="005F1F60" w:rsidP="005C66D5">
      <w:pPr>
        <w:pStyle w:val="box465012"/>
        <w:spacing w:before="0" w:beforeAutospacing="0" w:after="48" w:afterAutospacing="0" w:line="360" w:lineRule="auto"/>
        <w:jc w:val="both"/>
        <w:textAlignment w:val="baseline"/>
        <w:rPr>
          <w:rFonts w:ascii="Arial" w:hAnsi="Arial" w:cs="Arial"/>
          <w:color w:val="231F20"/>
          <w:sz w:val="22"/>
          <w:szCs w:val="22"/>
        </w:rPr>
      </w:pPr>
      <w:r>
        <w:rPr>
          <w:rFonts w:ascii="Arial" w:hAnsi="Arial" w:cs="Arial"/>
          <w:color w:val="231F20"/>
          <w:sz w:val="22"/>
          <w:szCs w:val="22"/>
        </w:rPr>
        <w:t xml:space="preserve">Ministarstvo obavlja upravne i stručne poslove koji se odnose na: obavljanje inspekcijskih poslova vezanih uz nadzor provedbe zakona, drugih propisa i općih akata kojima se uređuje područje radiološke i nuklearne sigurnosti; organiziranje sustava pripravnosti za slučaj izvanrednog događaja; osiguravanje stručne pomoći u slučaju nuklearne nezgode/nesreće; pripremanje i provođenje potrebne stručne i tehničke aktivnosti programa pripravnosti i djelovanja u slučaju izvanrednog događaja; pripremanje obavijesti za sredstva javnog informiranja, nadležna tijela, organizacije, udruge i međunarodne institucije o izvanrednim događajima vezanim uz izvore ionizirajućeg zračenja; prikupljanje podataka i informacija o radiološkoj ili nuklearnoj nesreći, suradnju s odgovarajućim centrima drugih zemalja, analizu i procjenu potencijalnih posljedica radiološke ili nuklearne nesreće i pripremu temeljnih stručnih podloga za donošenje odluka o poduzimanju mjera zaštite i spašavanja stanovništva; organiziranje i nadzor provedbe sanacije posljedica nezgode; kontrolu neovlaštenog prometa nuklearnog i drugog radioaktivnog materijala, uključujući promet preko državne granice; </w:t>
      </w:r>
      <w:r>
        <w:rPr>
          <w:rFonts w:ascii="Arial" w:hAnsi="Arial" w:cs="Arial"/>
          <w:color w:val="231F20"/>
          <w:sz w:val="22"/>
          <w:szCs w:val="22"/>
        </w:rPr>
        <w:lastRenderedPageBreak/>
        <w:t>zbrinjavanje otkrivenog nuklearnog i drugog radioaktivnog materijala; vođenje evidencija vezanih uz nadzor neovlaštenog prometa nuklearnog i drugog radioaktivnog materijala.</w:t>
      </w:r>
    </w:p>
    <w:p w:rsidR="005F1F60" w:rsidRDefault="005F1F60" w:rsidP="005C66D5">
      <w:pPr>
        <w:pStyle w:val="box465012"/>
        <w:spacing w:before="0" w:beforeAutospacing="0" w:after="48" w:afterAutospacing="0" w:line="360" w:lineRule="auto"/>
        <w:jc w:val="both"/>
        <w:textAlignment w:val="baseline"/>
        <w:rPr>
          <w:rFonts w:ascii="Arial" w:hAnsi="Arial" w:cs="Arial"/>
          <w:color w:val="231F20"/>
          <w:sz w:val="22"/>
          <w:szCs w:val="22"/>
        </w:rPr>
      </w:pPr>
    </w:p>
    <w:p w:rsidR="005F1F60" w:rsidRDefault="005F1F60" w:rsidP="005C66D5">
      <w:pPr>
        <w:pStyle w:val="box465012"/>
        <w:spacing w:before="0" w:beforeAutospacing="0" w:after="48" w:afterAutospacing="0" w:line="360" w:lineRule="auto"/>
        <w:jc w:val="both"/>
        <w:textAlignment w:val="baseline"/>
        <w:rPr>
          <w:rFonts w:ascii="Arial" w:hAnsi="Arial" w:cs="Arial"/>
          <w:color w:val="231F20"/>
          <w:sz w:val="22"/>
          <w:szCs w:val="22"/>
        </w:rPr>
      </w:pPr>
      <w:r>
        <w:rPr>
          <w:rFonts w:ascii="Arial" w:hAnsi="Arial" w:cs="Arial"/>
          <w:color w:val="231F20"/>
          <w:sz w:val="22"/>
          <w:szCs w:val="22"/>
        </w:rPr>
        <w:t xml:space="preserve">Ministarstvo provodi obveze koje je Republika Hrvatska preuzela prema međunarodnim konvencijama, ugovorima i sporazumima, a odnose se na: zaštitu od ionizirajućeg zračenja, nuklearnu sigurnost i primjenu mjera zaštite u svrhu neširenja nuklearnog oružja; surađuje s međunarodnim i domaćim organizacijama i društvima s područja zaštite od ionizirajućeg zračenja i nuklearne sigurnosti te imenuje svoje stručne predstavnike koji sudjeluju u radu tih organizacija i društava i prate njihov rad; koordinira poslove tehničke suradnje s Međunarodnom agencijom za atomsku energiju za sve sudionike iz Republike Hrvatske; potiče i podupire znanstveni i </w:t>
      </w:r>
      <w:proofErr w:type="spellStart"/>
      <w:r>
        <w:rPr>
          <w:rFonts w:ascii="Arial" w:hAnsi="Arial" w:cs="Arial"/>
          <w:color w:val="231F20"/>
          <w:sz w:val="22"/>
          <w:szCs w:val="22"/>
        </w:rPr>
        <w:t>razvojnoistraživački</w:t>
      </w:r>
      <w:proofErr w:type="spellEnd"/>
      <w:r>
        <w:rPr>
          <w:rFonts w:ascii="Arial" w:hAnsi="Arial" w:cs="Arial"/>
          <w:color w:val="231F20"/>
          <w:sz w:val="22"/>
          <w:szCs w:val="22"/>
        </w:rPr>
        <w:t xml:space="preserve"> rad, potiče stručna statistička i druga istraživanja u skladu sa zahtjevima i potrebama razvoja nuklearne sigurnosti i zaštite od ionizirajućeg zračenja u Republici Hrvatskoj; izdaje upute za provođenje međunarodnih preporuka i normi u području zaštite od ionizirajućeg zračenja i nuklearne sigurnosti te oblikuje standarde i metode u praćenju stanja zaštite od ionizirajućeg zračenja.</w:t>
      </w:r>
    </w:p>
    <w:p w:rsidR="005F1F60" w:rsidRDefault="005F1F60" w:rsidP="005C66D5">
      <w:pPr>
        <w:pStyle w:val="box465012"/>
        <w:spacing w:before="0" w:beforeAutospacing="0" w:after="48" w:afterAutospacing="0" w:line="360" w:lineRule="auto"/>
        <w:jc w:val="both"/>
        <w:textAlignment w:val="baseline"/>
        <w:rPr>
          <w:rFonts w:ascii="Arial" w:hAnsi="Arial" w:cs="Arial"/>
          <w:color w:val="231F20"/>
          <w:sz w:val="22"/>
          <w:szCs w:val="22"/>
        </w:rPr>
      </w:pPr>
    </w:p>
    <w:p w:rsidR="005F1F60" w:rsidRDefault="005F1F60" w:rsidP="005C66D5">
      <w:pPr>
        <w:pStyle w:val="box465012"/>
        <w:spacing w:before="0" w:beforeAutospacing="0" w:after="48" w:afterAutospacing="0" w:line="360" w:lineRule="auto"/>
        <w:jc w:val="both"/>
        <w:textAlignment w:val="baseline"/>
        <w:rPr>
          <w:rFonts w:ascii="Arial" w:hAnsi="Arial" w:cs="Arial"/>
          <w:color w:val="231F20"/>
          <w:sz w:val="22"/>
          <w:szCs w:val="22"/>
        </w:rPr>
      </w:pPr>
      <w:r>
        <w:rPr>
          <w:rFonts w:ascii="Arial" w:hAnsi="Arial" w:cs="Arial"/>
          <w:color w:val="231F20"/>
          <w:sz w:val="22"/>
          <w:szCs w:val="22"/>
        </w:rPr>
        <w:t>Ministarstvo obavlja upravne i stručne poslove koji se odnose na: provođenje tehničkog nadgledanja postrojenja koje obuhvaća klasifikaciju prostora, instalacije i uređaje namijenjene za rad u prostorima ugroženima eksplozivnom atmosferom; održavanost postrojenja, kao i opasnost od ostalih uzročnika paljenja, sukladno hrvatskim normama; provođenje tehničkog nadgledanja aktivnosti koje obuhvaća proizvodnju, popravak, instaliranje i održavanje uređaja namijenjenih za rad u prostorima ugroženima eksplozivnom atmosferom; provođenje tehničkog nadgledanja nad dokumentacijom za postrojenja i uređaja namijenjenih za rad u prostorima ugroženima eksplozivnom atmosferom; provođenje tehničkog nadgledanja nad obvezama poslodavca za zaštitu zdravlja i sigurnosti posloprimca u prostorima ugroženima eksplozivnom atmosferom; pripremu stručnih mišljenja o primjeni propisa na postrojenja i o potvrđivanju uređaja i proizvoda namijenjenih za rad u prostorima ugroženima eksplozivnom atmosferom; obavljanje ispitivanja, ocjenjivanja i potvrđivanja sukladnosti uređaja i opreme, zaštitnih sustava i komponenata namijenjenih eksplozivnoj atmosferi, plinova, para, maglica i prašine; obavljanje certifikacije eksplozivnih tvari i sustava upravljanja te edukaciju stručnog osoblja.</w:t>
      </w:r>
    </w:p>
    <w:p w:rsidR="005F1F60" w:rsidRDefault="005F1F60" w:rsidP="005C66D5">
      <w:pPr>
        <w:pStyle w:val="box465012"/>
        <w:spacing w:before="0" w:beforeAutospacing="0" w:after="48" w:afterAutospacing="0" w:line="360" w:lineRule="auto"/>
        <w:jc w:val="both"/>
        <w:textAlignment w:val="baseline"/>
        <w:rPr>
          <w:rFonts w:ascii="Arial" w:hAnsi="Arial" w:cs="Arial"/>
          <w:color w:val="231F20"/>
          <w:sz w:val="22"/>
          <w:szCs w:val="22"/>
        </w:rPr>
      </w:pPr>
    </w:p>
    <w:p w:rsidR="005F1F60" w:rsidRDefault="005F1F60" w:rsidP="005C66D5">
      <w:pPr>
        <w:pStyle w:val="box465012"/>
        <w:spacing w:before="0" w:beforeAutospacing="0" w:after="48" w:afterAutospacing="0" w:line="360" w:lineRule="auto"/>
        <w:jc w:val="both"/>
        <w:textAlignment w:val="baseline"/>
        <w:rPr>
          <w:rFonts w:ascii="Arial" w:hAnsi="Arial" w:cs="Arial"/>
          <w:color w:val="231F20"/>
          <w:sz w:val="22"/>
          <w:szCs w:val="22"/>
        </w:rPr>
      </w:pPr>
      <w:r>
        <w:rPr>
          <w:rFonts w:ascii="Arial" w:hAnsi="Arial" w:cs="Arial"/>
          <w:color w:val="231F20"/>
          <w:sz w:val="22"/>
          <w:szCs w:val="22"/>
        </w:rPr>
        <w:t xml:space="preserve">Ministarstvo obavlja upravne i stručne poslove koji se odnose na: prikupljanje i obradu podataka o područjima i objektima zagađenim MES-om i NUS-om ili njihovim dijelovima; vođenje evidencije o razminiranim područjima i/ili građevinama, o minski sumnjivom području, pronađenom i uništenom MES-u, NUS-u i njihovim dijelovima; obilježavanje minski sumnjivih </w:t>
      </w:r>
      <w:r>
        <w:rPr>
          <w:rFonts w:ascii="Arial" w:hAnsi="Arial" w:cs="Arial"/>
          <w:color w:val="231F20"/>
          <w:sz w:val="22"/>
          <w:szCs w:val="22"/>
        </w:rPr>
        <w:lastRenderedPageBreak/>
        <w:t xml:space="preserve">područja; obavljanje poslova općeg izvida – analize i dopunskog općeg izvida minski sumnjivog područja; izradu idejnih planova razminiranja i izvedbenih planova tehničkog izvida; kontrolu kvalitete razminiranja i tehničkog izvida na radilištu; izdavanje potvrde o isključenju razminiranog područja i/ili građevine iz minski sumnjivog područja; obavljanje poslova tehničkog izvida minski sumnjivog područja primjenom odobrenih metoda; pružanje stručne pomoći i davanje potrebnih podataka nadležnim tijelima o opasnostima od MES-a i NUS-a i njihovih dijelova; informiranje i edukaciju stanovništva o opasnostima od MES-a i NUS-a i njihovih dijelova te poduzimanje mjera zaštite i spašavanja stanovništva; ustupanje poslova razminiranja ovlaštenim pravnim osobama i/ili obrtnicima; suradnju s međunarodnim subjektima u humanitarnom razminiranju te druge poslove u vezi s </w:t>
      </w:r>
      <w:proofErr w:type="spellStart"/>
      <w:r>
        <w:rPr>
          <w:rFonts w:ascii="Arial" w:hAnsi="Arial" w:cs="Arial"/>
          <w:color w:val="231F20"/>
          <w:sz w:val="22"/>
          <w:szCs w:val="22"/>
        </w:rPr>
        <w:t>protuminskim</w:t>
      </w:r>
      <w:proofErr w:type="spellEnd"/>
      <w:r>
        <w:rPr>
          <w:rFonts w:ascii="Arial" w:hAnsi="Arial" w:cs="Arial"/>
          <w:color w:val="231F20"/>
          <w:sz w:val="22"/>
          <w:szCs w:val="22"/>
        </w:rPr>
        <w:t xml:space="preserve"> djelovanjem određene zakonom ili po zahtjevu Vlade.</w:t>
      </w:r>
    </w:p>
    <w:p w:rsidR="005F1F60" w:rsidRDefault="005F1F60" w:rsidP="005C66D5">
      <w:pPr>
        <w:pStyle w:val="box465012"/>
        <w:spacing w:before="0" w:beforeAutospacing="0" w:after="48" w:afterAutospacing="0" w:line="360" w:lineRule="auto"/>
        <w:jc w:val="both"/>
        <w:textAlignment w:val="baseline"/>
        <w:rPr>
          <w:rFonts w:ascii="Arial" w:hAnsi="Arial" w:cs="Arial"/>
          <w:color w:val="231F20"/>
          <w:sz w:val="22"/>
          <w:szCs w:val="22"/>
        </w:rPr>
      </w:pPr>
    </w:p>
    <w:p w:rsidR="003979BC" w:rsidRDefault="005F1F60" w:rsidP="005C66D5">
      <w:pPr>
        <w:pStyle w:val="box465012"/>
        <w:spacing w:before="0" w:beforeAutospacing="0" w:after="48" w:afterAutospacing="0" w:line="360" w:lineRule="auto"/>
        <w:jc w:val="both"/>
        <w:textAlignment w:val="baseline"/>
        <w:rPr>
          <w:rFonts w:ascii="Arial" w:hAnsi="Arial" w:cs="Arial"/>
          <w:color w:val="231F20"/>
          <w:sz w:val="22"/>
          <w:szCs w:val="22"/>
        </w:rPr>
      </w:pPr>
      <w:r>
        <w:rPr>
          <w:rFonts w:ascii="Arial" w:hAnsi="Arial" w:cs="Arial"/>
          <w:color w:val="231F20"/>
          <w:sz w:val="22"/>
          <w:szCs w:val="22"/>
        </w:rPr>
        <w:t>Ministarstvo obavlja i druge poslove koji se odnose na: vođenje evidencija i statistike iz područja unutarnjih poslova; sustav informiranja u području unutarnjih poslova; obrazovanje i usavršavanje službenika unutarnjih poslova.</w:t>
      </w:r>
    </w:p>
    <w:p w:rsidR="005F1F60" w:rsidRDefault="005F1F60" w:rsidP="005C66D5">
      <w:pPr>
        <w:pStyle w:val="box465012"/>
        <w:spacing w:before="0" w:beforeAutospacing="0" w:after="48" w:afterAutospacing="0" w:line="360" w:lineRule="auto"/>
        <w:jc w:val="both"/>
        <w:textAlignment w:val="baseline"/>
        <w:rPr>
          <w:rFonts w:ascii="Arial" w:hAnsi="Arial" w:cs="Arial"/>
          <w:color w:val="231F20"/>
          <w:sz w:val="22"/>
          <w:szCs w:val="22"/>
        </w:rPr>
      </w:pPr>
    </w:p>
    <w:tbl>
      <w:tblPr>
        <w:tblW w:w="0" w:type="auto"/>
        <w:shd w:val="clear" w:color="auto" w:fill="365F91"/>
        <w:tblLook w:val="04A0" w:firstRow="1" w:lastRow="0" w:firstColumn="1" w:lastColumn="0" w:noHBand="0" w:noVBand="1"/>
      </w:tblPr>
      <w:tblGrid>
        <w:gridCol w:w="9070"/>
      </w:tblGrid>
      <w:tr w:rsidR="005F1F60" w:rsidTr="00844F3A">
        <w:trPr>
          <w:trHeight w:val="406"/>
        </w:trPr>
        <w:tc>
          <w:tcPr>
            <w:tcW w:w="9070" w:type="dxa"/>
            <w:shd w:val="clear" w:color="auto" w:fill="365F91"/>
            <w:vAlign w:val="center"/>
            <w:hideMark/>
          </w:tcPr>
          <w:p w:rsidR="005F1F60" w:rsidRDefault="00844F3A" w:rsidP="005C66D5">
            <w:pPr>
              <w:keepNext/>
              <w:keepLines/>
              <w:spacing w:before="40" w:after="0" w:line="360" w:lineRule="auto"/>
              <w:jc w:val="center"/>
              <w:outlineLvl w:val="1"/>
              <w:rPr>
                <w:rFonts w:ascii="Arial" w:eastAsia="Times New Roman" w:hAnsi="Arial" w:cs="Arial"/>
                <w:color w:val="FFFFFF" w:themeColor="background1"/>
                <w:sz w:val="24"/>
                <w:szCs w:val="26"/>
                <w:lang w:eastAsia="hr-HR"/>
              </w:rPr>
            </w:pPr>
            <w:bookmarkStart w:id="17" w:name="_Toc65579932"/>
            <w:bookmarkStart w:id="18" w:name="_Toc96417910"/>
            <w:bookmarkStart w:id="19" w:name="_Toc161385875"/>
            <w:bookmarkStart w:id="20" w:name="_Toc161385973"/>
            <w:r w:rsidRPr="00844F3A">
              <w:rPr>
                <w:rFonts w:ascii="Arial" w:eastAsia="Times New Roman" w:hAnsi="Arial" w:cs="Arial"/>
                <w:noProof/>
                <w:color w:val="FFFFFF" w:themeColor="background1"/>
                <w:sz w:val="24"/>
                <w:szCs w:val="24"/>
                <w:lang w:eastAsia="hr-HR"/>
              </w:rPr>
              <w:t>b</w:t>
            </w:r>
            <w:r w:rsidR="005F1F60" w:rsidRPr="00844F3A">
              <w:rPr>
                <w:rFonts w:ascii="Arial" w:eastAsia="Times New Roman" w:hAnsi="Arial" w:cs="Arial"/>
                <w:color w:val="FFFFFF" w:themeColor="background1"/>
                <w:sz w:val="24"/>
                <w:szCs w:val="26"/>
                <w:lang w:eastAsia="hr-HR"/>
              </w:rPr>
              <w:t>. Vizija</w:t>
            </w:r>
            <w:bookmarkEnd w:id="17"/>
            <w:bookmarkEnd w:id="18"/>
            <w:bookmarkEnd w:id="19"/>
            <w:bookmarkEnd w:id="20"/>
          </w:p>
        </w:tc>
      </w:tr>
    </w:tbl>
    <w:p w:rsidR="005F1F60" w:rsidRDefault="005F1F60" w:rsidP="005C66D5">
      <w:pPr>
        <w:spacing w:after="0" w:line="360" w:lineRule="auto"/>
        <w:jc w:val="center"/>
        <w:rPr>
          <w:rFonts w:ascii="Arial" w:eastAsia="Times New Roman" w:hAnsi="Arial" w:cs="Arial"/>
          <w:sz w:val="24"/>
          <w:szCs w:val="24"/>
          <w:lang w:eastAsia="hr-HR"/>
        </w:rPr>
      </w:pPr>
    </w:p>
    <w:p w:rsidR="00455B66" w:rsidRDefault="00455B66" w:rsidP="005C66D5">
      <w:pPr>
        <w:spacing w:after="0" w:line="360" w:lineRule="auto"/>
        <w:jc w:val="both"/>
        <w:rPr>
          <w:rFonts w:ascii="Arial" w:eastAsia="Times New Roman" w:hAnsi="Arial" w:cs="Arial"/>
          <w:lang w:eastAsia="hr-HR"/>
        </w:rPr>
      </w:pPr>
    </w:p>
    <w:p w:rsidR="005F1F60" w:rsidRDefault="005F1F60" w:rsidP="005C66D5">
      <w:pPr>
        <w:spacing w:after="0" w:line="360" w:lineRule="auto"/>
        <w:jc w:val="both"/>
        <w:rPr>
          <w:rFonts w:ascii="Arial" w:eastAsia="Times New Roman" w:hAnsi="Arial" w:cs="Arial"/>
          <w:lang w:eastAsia="hr-HR"/>
        </w:rPr>
      </w:pPr>
      <w:r>
        <w:rPr>
          <w:rFonts w:ascii="Arial" w:eastAsia="Times New Roman" w:hAnsi="Arial" w:cs="Arial"/>
          <w:lang w:eastAsia="hr-HR"/>
        </w:rPr>
        <w:t xml:space="preserve">Vizija Ministarstva je održavanje takvih uvjeta u društvu gdje će građani biti slobodni, sigurni i zaštićeni od svih oblika nasilja, nesretnih slučajeva, prirodnih i tehničko-tehnoloških velikih nesreća i katastrofa. </w:t>
      </w:r>
    </w:p>
    <w:p w:rsidR="005F1F60" w:rsidRDefault="005F1F60" w:rsidP="005C66D5">
      <w:pPr>
        <w:spacing w:after="0" w:line="360" w:lineRule="auto"/>
        <w:jc w:val="both"/>
        <w:rPr>
          <w:rFonts w:ascii="Arial" w:eastAsia="Times New Roman" w:hAnsi="Arial" w:cs="Arial"/>
          <w:lang w:eastAsia="hr-HR"/>
        </w:rPr>
      </w:pPr>
    </w:p>
    <w:p w:rsidR="005F1F60" w:rsidRDefault="005F1F60" w:rsidP="005C66D5">
      <w:pPr>
        <w:spacing w:after="0" w:line="360" w:lineRule="auto"/>
        <w:jc w:val="both"/>
        <w:rPr>
          <w:rFonts w:ascii="Arial" w:eastAsia="Times New Roman" w:hAnsi="Arial" w:cs="Arial"/>
          <w:sz w:val="24"/>
          <w:szCs w:val="24"/>
          <w:lang w:eastAsia="hr-HR"/>
        </w:rPr>
      </w:pPr>
      <w:r>
        <w:rPr>
          <w:rFonts w:ascii="Arial" w:eastAsia="Times New Roman" w:hAnsi="Arial" w:cs="Arial"/>
          <w:lang w:eastAsia="hr-HR"/>
        </w:rPr>
        <w:t>Redukcijom rizika i trendova negativnih pojava, događaja i njihovih posljedica podignuti će se razina objektivnog stanja sigurnosti i subjektivnog osjećaja sigurnosti građana, a Republika Hrvatska će biti prepoznata kao jedna od najsigurnijih europskih zemalja</w:t>
      </w:r>
      <w:r>
        <w:rPr>
          <w:rFonts w:ascii="Arial" w:eastAsia="Times New Roman" w:hAnsi="Arial" w:cs="Arial"/>
          <w:sz w:val="24"/>
          <w:szCs w:val="24"/>
          <w:lang w:eastAsia="hr-HR"/>
        </w:rPr>
        <w:t>.</w:t>
      </w:r>
    </w:p>
    <w:p w:rsidR="005F1F60" w:rsidRDefault="005F1F60" w:rsidP="005C66D5">
      <w:pPr>
        <w:spacing w:after="0" w:line="360" w:lineRule="auto"/>
        <w:jc w:val="both"/>
        <w:rPr>
          <w:rFonts w:ascii="Arial" w:eastAsia="Times New Roman" w:hAnsi="Arial" w:cs="Arial"/>
          <w:sz w:val="24"/>
          <w:szCs w:val="24"/>
          <w:lang w:eastAsia="hr-HR"/>
        </w:rPr>
      </w:pPr>
    </w:p>
    <w:tbl>
      <w:tblPr>
        <w:tblW w:w="0" w:type="auto"/>
        <w:shd w:val="clear" w:color="auto" w:fill="365F91"/>
        <w:tblLook w:val="04A0" w:firstRow="1" w:lastRow="0" w:firstColumn="1" w:lastColumn="0" w:noHBand="0" w:noVBand="1"/>
      </w:tblPr>
      <w:tblGrid>
        <w:gridCol w:w="9070"/>
      </w:tblGrid>
      <w:tr w:rsidR="005F1F60" w:rsidTr="005F1F60">
        <w:trPr>
          <w:trHeight w:val="408"/>
        </w:trPr>
        <w:tc>
          <w:tcPr>
            <w:tcW w:w="9288" w:type="dxa"/>
            <w:shd w:val="clear" w:color="auto" w:fill="365F91"/>
            <w:vAlign w:val="center"/>
            <w:hideMark/>
          </w:tcPr>
          <w:p w:rsidR="005F1F60" w:rsidRDefault="00844F3A" w:rsidP="005C66D5">
            <w:pPr>
              <w:keepNext/>
              <w:keepLines/>
              <w:spacing w:before="40" w:after="0" w:line="360" w:lineRule="auto"/>
              <w:jc w:val="center"/>
              <w:outlineLvl w:val="1"/>
              <w:rPr>
                <w:rFonts w:ascii="Arial" w:eastAsia="Times New Roman" w:hAnsi="Arial" w:cs="Arial"/>
                <w:color w:val="FFFFFF" w:themeColor="background1"/>
                <w:sz w:val="24"/>
                <w:szCs w:val="26"/>
                <w:lang w:eastAsia="hr-HR"/>
              </w:rPr>
            </w:pPr>
            <w:bookmarkStart w:id="21" w:name="_Toc65579933"/>
            <w:bookmarkStart w:id="22" w:name="_Toc96417911"/>
            <w:bookmarkStart w:id="23" w:name="_Toc161385876"/>
            <w:bookmarkStart w:id="24" w:name="_Toc161385974"/>
            <w:r>
              <w:rPr>
                <w:rFonts w:ascii="Arial" w:eastAsia="Times New Roman" w:hAnsi="Arial" w:cs="Arial"/>
                <w:color w:val="FFFFFF" w:themeColor="background1"/>
                <w:sz w:val="24"/>
                <w:szCs w:val="26"/>
                <w:lang w:eastAsia="hr-HR"/>
              </w:rPr>
              <w:t>c.</w:t>
            </w:r>
            <w:r w:rsidR="005F1F60">
              <w:rPr>
                <w:rFonts w:ascii="Arial" w:eastAsia="Times New Roman" w:hAnsi="Arial" w:cs="Arial"/>
                <w:color w:val="FFFFFF" w:themeColor="background1"/>
                <w:sz w:val="24"/>
                <w:szCs w:val="26"/>
                <w:lang w:eastAsia="hr-HR"/>
              </w:rPr>
              <w:t xml:space="preserve"> Misija</w:t>
            </w:r>
            <w:bookmarkEnd w:id="21"/>
            <w:bookmarkEnd w:id="22"/>
            <w:bookmarkEnd w:id="23"/>
            <w:bookmarkEnd w:id="24"/>
          </w:p>
        </w:tc>
      </w:tr>
    </w:tbl>
    <w:p w:rsidR="005F1F60" w:rsidRDefault="005F1F60" w:rsidP="005C66D5">
      <w:pPr>
        <w:spacing w:after="0" w:line="360" w:lineRule="auto"/>
        <w:jc w:val="both"/>
        <w:rPr>
          <w:rFonts w:ascii="Arial" w:eastAsia="Times New Roman" w:hAnsi="Arial" w:cs="Arial"/>
          <w:sz w:val="24"/>
          <w:szCs w:val="24"/>
          <w:lang w:eastAsia="hr-HR"/>
        </w:rPr>
      </w:pPr>
    </w:p>
    <w:p w:rsidR="00455B66" w:rsidRDefault="00455B66" w:rsidP="005C66D5">
      <w:pPr>
        <w:spacing w:after="0" w:line="360" w:lineRule="auto"/>
        <w:jc w:val="both"/>
        <w:rPr>
          <w:rFonts w:ascii="Arial" w:eastAsia="Times New Roman" w:hAnsi="Arial" w:cs="Arial"/>
          <w:bCs/>
          <w:lang w:eastAsia="hr-HR"/>
        </w:rPr>
      </w:pPr>
    </w:p>
    <w:p w:rsidR="005F1F60" w:rsidRPr="00FA57BE" w:rsidRDefault="005F1F60" w:rsidP="00FA57BE">
      <w:pPr>
        <w:spacing w:after="0" w:line="360" w:lineRule="auto"/>
        <w:jc w:val="both"/>
        <w:rPr>
          <w:rFonts w:ascii="Arial" w:eastAsia="Times New Roman" w:hAnsi="Arial" w:cs="Arial"/>
          <w:bCs/>
          <w:lang w:eastAsia="hr-HR"/>
        </w:rPr>
      </w:pPr>
      <w:r>
        <w:rPr>
          <w:rFonts w:ascii="Arial" w:eastAsia="Times New Roman" w:hAnsi="Arial" w:cs="Arial"/>
          <w:bCs/>
          <w:lang w:eastAsia="hr-HR"/>
        </w:rPr>
        <w:t xml:space="preserve">Misija </w:t>
      </w:r>
      <w:r>
        <w:rPr>
          <w:rFonts w:ascii="Arial" w:eastAsia="Times New Roman" w:hAnsi="Arial" w:cs="Arial"/>
          <w:lang w:eastAsia="hr-HR"/>
        </w:rPr>
        <w:t xml:space="preserve">Ministarstva je </w:t>
      </w:r>
      <w:r>
        <w:rPr>
          <w:rFonts w:ascii="Arial" w:eastAsia="Times New Roman" w:hAnsi="Arial" w:cs="Arial"/>
          <w:bCs/>
          <w:lang w:eastAsia="hr-HR"/>
        </w:rPr>
        <w:t xml:space="preserve">zaštita i spašavanje života, osobnog integriteta i imovine građana, očuvanje nepovredivosti državne granice, suzbijanje svih oblika kriminaliteta, održavanje povoljnog stanja javnoga reda i sigurnosti te pružanje usluga građanima koje omogućavaju kvalitetan život i rad te održivi društveni </w:t>
      </w:r>
      <w:r>
        <w:rPr>
          <w:rFonts w:ascii="Arial" w:eastAsia="Times New Roman" w:hAnsi="Arial" w:cs="Arial"/>
        </w:rPr>
        <w:t xml:space="preserve">razvoj </w:t>
      </w:r>
      <w:r>
        <w:rPr>
          <w:rFonts w:ascii="Arial" w:eastAsia="Times New Roman" w:hAnsi="Arial" w:cs="Arial"/>
          <w:bCs/>
          <w:lang w:eastAsia="hr-HR"/>
        </w:rPr>
        <w:t>cjelokupne zajednice.</w:t>
      </w:r>
    </w:p>
    <w:p w:rsidR="008C452D" w:rsidRDefault="008C452D" w:rsidP="005C66D5">
      <w:pPr>
        <w:spacing w:after="0" w:line="360" w:lineRule="auto"/>
        <w:jc w:val="both"/>
        <w:rPr>
          <w:rFonts w:ascii="Arial" w:eastAsia="Times New Roman" w:hAnsi="Arial" w:cs="Arial"/>
          <w:sz w:val="24"/>
          <w:szCs w:val="24"/>
          <w:lang w:eastAsia="hr-HR"/>
        </w:rPr>
      </w:pPr>
    </w:p>
    <w:tbl>
      <w:tblPr>
        <w:tblW w:w="0" w:type="auto"/>
        <w:shd w:val="clear" w:color="auto" w:fill="365F91"/>
        <w:tblLook w:val="04A0" w:firstRow="1" w:lastRow="0" w:firstColumn="1" w:lastColumn="0" w:noHBand="0" w:noVBand="1"/>
      </w:tblPr>
      <w:tblGrid>
        <w:gridCol w:w="9070"/>
      </w:tblGrid>
      <w:tr w:rsidR="008C452D" w:rsidTr="00D5486E">
        <w:trPr>
          <w:trHeight w:val="408"/>
        </w:trPr>
        <w:tc>
          <w:tcPr>
            <w:tcW w:w="9288" w:type="dxa"/>
            <w:shd w:val="clear" w:color="auto" w:fill="365F91"/>
            <w:vAlign w:val="center"/>
            <w:hideMark/>
          </w:tcPr>
          <w:p w:rsidR="008C452D" w:rsidRDefault="00A21913" w:rsidP="005C66D5">
            <w:pPr>
              <w:keepNext/>
              <w:keepLines/>
              <w:spacing w:before="40" w:after="0" w:line="360" w:lineRule="auto"/>
              <w:outlineLvl w:val="1"/>
              <w:rPr>
                <w:rFonts w:ascii="Arial" w:eastAsia="Times New Roman" w:hAnsi="Arial" w:cs="Arial"/>
                <w:color w:val="FFFFFF" w:themeColor="background1"/>
                <w:sz w:val="24"/>
                <w:szCs w:val="26"/>
                <w:lang w:eastAsia="hr-HR"/>
              </w:rPr>
            </w:pPr>
            <w:r>
              <w:rPr>
                <w:rFonts w:ascii="Arial" w:eastAsia="Times New Roman" w:hAnsi="Arial" w:cs="Arial"/>
                <w:color w:val="FFFFFF" w:themeColor="background1"/>
                <w:sz w:val="24"/>
                <w:szCs w:val="26"/>
                <w:lang w:eastAsia="hr-HR"/>
              </w:rPr>
              <w:lastRenderedPageBreak/>
              <w:t xml:space="preserve">    </w:t>
            </w:r>
            <w:bookmarkStart w:id="25" w:name="_Toc161385877"/>
            <w:bookmarkStart w:id="26" w:name="_Toc161385975"/>
            <w:r w:rsidR="008C452D">
              <w:rPr>
                <w:rFonts w:ascii="Arial" w:eastAsia="Times New Roman" w:hAnsi="Arial" w:cs="Arial"/>
                <w:color w:val="FFFFFF" w:themeColor="background1"/>
                <w:sz w:val="24"/>
                <w:szCs w:val="26"/>
                <w:lang w:eastAsia="hr-HR"/>
              </w:rPr>
              <w:t xml:space="preserve">3. </w:t>
            </w:r>
            <w:r>
              <w:rPr>
                <w:rFonts w:ascii="Arial" w:eastAsia="Times New Roman" w:hAnsi="Arial" w:cs="Arial"/>
                <w:color w:val="FFFFFF" w:themeColor="background1"/>
                <w:sz w:val="24"/>
                <w:szCs w:val="26"/>
                <w:lang w:eastAsia="hr-HR"/>
              </w:rPr>
              <w:t xml:space="preserve"> </w:t>
            </w:r>
            <w:r w:rsidR="008C452D">
              <w:rPr>
                <w:rFonts w:ascii="Arial" w:eastAsia="Times New Roman" w:hAnsi="Arial" w:cs="Arial"/>
                <w:color w:val="FFFFFF" w:themeColor="background1"/>
                <w:sz w:val="24"/>
                <w:szCs w:val="26"/>
                <w:lang w:eastAsia="hr-HR"/>
              </w:rPr>
              <w:t>K</w:t>
            </w:r>
            <w:r>
              <w:rPr>
                <w:rFonts w:ascii="Arial" w:eastAsia="Times New Roman" w:hAnsi="Arial" w:cs="Arial"/>
                <w:color w:val="FFFFFF" w:themeColor="background1"/>
                <w:sz w:val="24"/>
                <w:szCs w:val="26"/>
                <w:lang w:eastAsia="hr-HR"/>
              </w:rPr>
              <w:t>ONTEKST</w:t>
            </w:r>
            <w:bookmarkEnd w:id="25"/>
            <w:bookmarkEnd w:id="26"/>
          </w:p>
        </w:tc>
      </w:tr>
    </w:tbl>
    <w:p w:rsidR="00FA57BE" w:rsidRDefault="00FA57BE" w:rsidP="005C66D5">
      <w:pPr>
        <w:keepNext/>
        <w:keepLines/>
        <w:spacing w:before="480" w:after="0" w:line="360" w:lineRule="auto"/>
        <w:jc w:val="both"/>
        <w:outlineLvl w:val="0"/>
        <w:rPr>
          <w:rFonts w:ascii="Arial" w:hAnsi="Arial" w:cs="Arial"/>
          <w:color w:val="FF0000"/>
        </w:rPr>
      </w:pPr>
    </w:p>
    <w:p w:rsidR="00380EDE" w:rsidRPr="00A701C3" w:rsidRDefault="007E0DB2" w:rsidP="00380EDE">
      <w:pPr>
        <w:keepNext/>
        <w:keepLines/>
        <w:spacing w:before="480" w:after="0" w:line="360" w:lineRule="auto"/>
        <w:jc w:val="both"/>
        <w:outlineLvl w:val="0"/>
        <w:rPr>
          <w:rFonts w:ascii="Arial" w:hAnsi="Arial" w:cs="Arial"/>
        </w:rPr>
      </w:pPr>
      <w:bookmarkStart w:id="27" w:name="_Toc161385878"/>
      <w:bookmarkStart w:id="28" w:name="_Toc161385976"/>
      <w:r w:rsidRPr="00A701C3">
        <w:rPr>
          <w:rFonts w:ascii="Arial" w:hAnsi="Arial" w:cs="Arial"/>
        </w:rPr>
        <w:t xml:space="preserve">Godišnji plan rada sadrži planske aktivnosti </w:t>
      </w:r>
      <w:r w:rsidR="006162AF" w:rsidRPr="00A701C3">
        <w:rPr>
          <w:rFonts w:ascii="Arial" w:hAnsi="Arial" w:cs="Arial"/>
        </w:rPr>
        <w:t xml:space="preserve">koje će provoditi u 2023. godini a </w:t>
      </w:r>
      <w:r w:rsidR="00E6243C" w:rsidRPr="00A701C3">
        <w:rPr>
          <w:rFonts w:ascii="Arial" w:hAnsi="Arial" w:cs="Arial"/>
        </w:rPr>
        <w:t xml:space="preserve">kojim se želi postići </w:t>
      </w:r>
      <w:r w:rsidR="0080377C" w:rsidRPr="00A701C3">
        <w:rPr>
          <w:rFonts w:ascii="Arial" w:hAnsi="Arial" w:cs="Arial"/>
        </w:rPr>
        <w:t xml:space="preserve">realizacija </w:t>
      </w:r>
      <w:r w:rsidRPr="00A701C3">
        <w:rPr>
          <w:rFonts w:ascii="Arial" w:hAnsi="Arial" w:cs="Arial"/>
        </w:rPr>
        <w:t xml:space="preserve">definiranih mjera </w:t>
      </w:r>
      <w:r w:rsidR="005C66D5" w:rsidRPr="00A701C3">
        <w:rPr>
          <w:rFonts w:ascii="Arial" w:hAnsi="Arial" w:cs="Arial"/>
        </w:rPr>
        <w:t xml:space="preserve">iz Provedbenog programa Ministarstva </w:t>
      </w:r>
      <w:r w:rsidR="00380EDE" w:rsidRPr="00A701C3">
        <w:rPr>
          <w:rFonts w:ascii="Arial" w:hAnsi="Arial" w:cs="Arial"/>
        </w:rPr>
        <w:t xml:space="preserve">za razdoblje </w:t>
      </w:r>
      <w:r w:rsidR="005C66D5" w:rsidRPr="00A701C3">
        <w:rPr>
          <w:rFonts w:ascii="Arial" w:hAnsi="Arial" w:cs="Arial"/>
        </w:rPr>
        <w:t xml:space="preserve">2021 – 2024., </w:t>
      </w:r>
      <w:r w:rsidRPr="00A701C3">
        <w:rPr>
          <w:rFonts w:ascii="Arial" w:hAnsi="Arial" w:cs="Arial"/>
        </w:rPr>
        <w:t xml:space="preserve">a posebice </w:t>
      </w:r>
      <w:r w:rsidR="005C7829" w:rsidRPr="00A701C3">
        <w:rPr>
          <w:rFonts w:ascii="Arial" w:hAnsi="Arial" w:cs="Arial"/>
        </w:rPr>
        <w:t xml:space="preserve">jačanje okvira za sprečavanje svih oblika kriminaliteta, </w:t>
      </w:r>
      <w:r w:rsidRPr="00A701C3">
        <w:rPr>
          <w:rFonts w:ascii="Arial" w:hAnsi="Arial" w:cs="Arial"/>
        </w:rPr>
        <w:t xml:space="preserve">ilegalnih migracija, </w:t>
      </w:r>
      <w:r w:rsidR="005C7829" w:rsidRPr="00A701C3">
        <w:rPr>
          <w:rFonts w:ascii="Arial" w:hAnsi="Arial" w:cs="Arial"/>
        </w:rPr>
        <w:t xml:space="preserve">modernizacija sustava, </w:t>
      </w:r>
      <w:r w:rsidR="007A7362" w:rsidRPr="00A701C3">
        <w:rPr>
          <w:rFonts w:ascii="Arial" w:hAnsi="Arial" w:cs="Arial"/>
        </w:rPr>
        <w:t>neposredne provedbe zakona i drugih propi</w:t>
      </w:r>
      <w:r w:rsidR="00844F3A" w:rsidRPr="00A701C3">
        <w:rPr>
          <w:rFonts w:ascii="Arial" w:hAnsi="Arial" w:cs="Arial"/>
        </w:rPr>
        <w:t>sa iz nadležnosti Ministarstva.</w:t>
      </w:r>
      <w:bookmarkEnd w:id="27"/>
      <w:bookmarkEnd w:id="28"/>
      <w:r w:rsidR="007A7362" w:rsidRPr="00A701C3">
        <w:rPr>
          <w:rFonts w:ascii="Arial" w:hAnsi="Arial" w:cs="Arial"/>
        </w:rPr>
        <w:t xml:space="preserve">  </w:t>
      </w:r>
    </w:p>
    <w:p w:rsidR="00380EDE" w:rsidRPr="00A701C3" w:rsidRDefault="00380EDE" w:rsidP="00380EDE">
      <w:pPr>
        <w:tabs>
          <w:tab w:val="left" w:pos="1134"/>
        </w:tabs>
        <w:spacing w:after="0" w:line="360" w:lineRule="auto"/>
        <w:jc w:val="both"/>
        <w:rPr>
          <w:rFonts w:ascii="Arial" w:hAnsi="Arial" w:cs="Arial"/>
        </w:rPr>
      </w:pPr>
    </w:p>
    <w:p w:rsidR="005F1F60" w:rsidRPr="00A701C3" w:rsidRDefault="000263A3" w:rsidP="00380EDE">
      <w:pPr>
        <w:tabs>
          <w:tab w:val="left" w:pos="1134"/>
        </w:tabs>
        <w:spacing w:after="0" w:line="360" w:lineRule="auto"/>
        <w:jc w:val="both"/>
        <w:rPr>
          <w:rFonts w:ascii="Arial" w:hAnsi="Arial" w:cs="Arial"/>
        </w:rPr>
      </w:pPr>
      <w:r w:rsidRPr="00A701C3">
        <w:rPr>
          <w:rFonts w:ascii="Arial" w:hAnsi="Arial" w:cs="Arial"/>
        </w:rPr>
        <w:t>Od 1. siječnja 2023. godine, u</w:t>
      </w:r>
      <w:r w:rsidR="00521D30" w:rsidRPr="00A701C3">
        <w:rPr>
          <w:rFonts w:ascii="Arial" w:hAnsi="Arial" w:cs="Arial"/>
        </w:rPr>
        <w:t xml:space="preserve">laskom Republike Hrvatske u </w:t>
      </w:r>
      <w:proofErr w:type="spellStart"/>
      <w:r w:rsidR="00521D30" w:rsidRPr="00A701C3">
        <w:rPr>
          <w:rFonts w:ascii="Arial" w:hAnsi="Arial" w:cs="Arial"/>
        </w:rPr>
        <w:t>Schengenski</w:t>
      </w:r>
      <w:proofErr w:type="spellEnd"/>
      <w:r w:rsidR="00521D30" w:rsidRPr="00A701C3">
        <w:rPr>
          <w:rFonts w:ascii="Arial" w:hAnsi="Arial" w:cs="Arial"/>
        </w:rPr>
        <w:t xml:space="preserve"> prostor,</w:t>
      </w:r>
      <w:r w:rsidR="00E6243C" w:rsidRPr="00A701C3">
        <w:rPr>
          <w:rFonts w:ascii="Arial" w:hAnsi="Arial" w:cs="Arial"/>
        </w:rPr>
        <w:t>,</w:t>
      </w:r>
      <w:r w:rsidR="00521D30" w:rsidRPr="00A701C3">
        <w:rPr>
          <w:rFonts w:ascii="Arial" w:hAnsi="Arial" w:cs="Arial"/>
        </w:rPr>
        <w:t xml:space="preserve"> kada se </w:t>
      </w:r>
      <w:r w:rsidR="00FD34A1" w:rsidRPr="00A701C3">
        <w:rPr>
          <w:rFonts w:ascii="Arial" w:hAnsi="Arial" w:cs="Arial"/>
        </w:rPr>
        <w:t>procedura kontrole na granici formalno ukida, policija će i dalje vršiti kontrole putnika i robe u dubini teritorija</w:t>
      </w:r>
      <w:r w:rsidR="00765855" w:rsidRPr="00A701C3">
        <w:rPr>
          <w:rFonts w:ascii="Arial" w:hAnsi="Arial" w:cs="Arial"/>
        </w:rPr>
        <w:t>,</w:t>
      </w:r>
      <w:r w:rsidR="00A50C1B" w:rsidRPr="00A701C3">
        <w:rPr>
          <w:rFonts w:ascii="Arial" w:hAnsi="Arial" w:cs="Arial"/>
        </w:rPr>
        <w:t xml:space="preserve"> </w:t>
      </w:r>
      <w:r w:rsidR="00FD34A1" w:rsidRPr="00A701C3">
        <w:rPr>
          <w:rFonts w:ascii="Arial" w:hAnsi="Arial" w:cs="Arial"/>
        </w:rPr>
        <w:t>dok će kontrole na vanjskim graničnim prijelazima prema Srbiji, B</w:t>
      </w:r>
      <w:r w:rsidR="005C66D5" w:rsidRPr="00A701C3">
        <w:rPr>
          <w:rFonts w:ascii="Arial" w:hAnsi="Arial" w:cs="Arial"/>
        </w:rPr>
        <w:t xml:space="preserve">osni i Hercegovini </w:t>
      </w:r>
      <w:r w:rsidR="00FD34A1" w:rsidRPr="00A701C3">
        <w:rPr>
          <w:rFonts w:ascii="Arial" w:hAnsi="Arial" w:cs="Arial"/>
        </w:rPr>
        <w:t>i Crnoj Gori biti strože i sveobuhvatnije.</w:t>
      </w:r>
    </w:p>
    <w:p w:rsidR="003979BC" w:rsidRPr="00A701C3" w:rsidRDefault="003979BC" w:rsidP="00380EDE">
      <w:pPr>
        <w:tabs>
          <w:tab w:val="left" w:pos="1134"/>
        </w:tabs>
        <w:spacing w:after="0" w:line="360" w:lineRule="auto"/>
        <w:jc w:val="both"/>
        <w:rPr>
          <w:rFonts w:ascii="Arial" w:hAnsi="Arial" w:cs="Arial"/>
        </w:rPr>
      </w:pPr>
    </w:p>
    <w:p w:rsidR="00380EDE" w:rsidRPr="00A701C3" w:rsidRDefault="003979BC" w:rsidP="00380EDE">
      <w:pPr>
        <w:spacing w:line="360" w:lineRule="auto"/>
        <w:jc w:val="both"/>
        <w:rPr>
          <w:rFonts w:ascii="Arial" w:hAnsi="Arial" w:cs="Arial"/>
        </w:rPr>
      </w:pPr>
      <w:r w:rsidRPr="00A701C3">
        <w:rPr>
          <w:rFonts w:ascii="Arial" w:hAnsi="Arial" w:cs="Arial"/>
        </w:rPr>
        <w:t xml:space="preserve">U tom smislu fokus </w:t>
      </w:r>
      <w:r w:rsidR="005C66D5" w:rsidRPr="00A701C3">
        <w:rPr>
          <w:rFonts w:ascii="Arial" w:hAnsi="Arial" w:cs="Arial"/>
        </w:rPr>
        <w:t xml:space="preserve">će biti </w:t>
      </w:r>
      <w:r w:rsidRPr="00A701C3">
        <w:rPr>
          <w:rFonts w:ascii="Arial" w:hAnsi="Arial" w:cs="Arial"/>
        </w:rPr>
        <w:t>na potpunoj implementaciji funkciona</w:t>
      </w:r>
      <w:r w:rsidR="00380EDE" w:rsidRPr="00A701C3">
        <w:rPr>
          <w:rFonts w:ascii="Arial" w:hAnsi="Arial" w:cs="Arial"/>
        </w:rPr>
        <w:t>lne reorganizacije Ministarstva,</w:t>
      </w:r>
      <w:r w:rsidRPr="00A701C3">
        <w:rPr>
          <w:rFonts w:ascii="Arial" w:hAnsi="Arial" w:cs="Arial"/>
        </w:rPr>
        <w:t xml:space="preserve"> čija je temeljna svrha ojačati operativni dio policijskog sustava i time dodatno podići razinu učinkovitosti i ekonomičnosti policije kako bi išla u korak sa suvremeni</w:t>
      </w:r>
      <w:r w:rsidR="005C66D5" w:rsidRPr="00A701C3">
        <w:rPr>
          <w:rFonts w:ascii="Arial" w:hAnsi="Arial" w:cs="Arial"/>
        </w:rPr>
        <w:t>m razvojem i potrebama društva.</w:t>
      </w:r>
    </w:p>
    <w:p w:rsidR="000B098D" w:rsidRPr="00A701C3" w:rsidRDefault="000B098D" w:rsidP="00380EDE">
      <w:pPr>
        <w:spacing w:line="360" w:lineRule="auto"/>
        <w:jc w:val="both"/>
        <w:rPr>
          <w:rFonts w:ascii="Arial" w:hAnsi="Arial" w:cs="Arial"/>
        </w:rPr>
      </w:pPr>
    </w:p>
    <w:p w:rsidR="00380EDE" w:rsidRDefault="003979BC" w:rsidP="00380EDE">
      <w:pPr>
        <w:spacing w:line="360" w:lineRule="auto"/>
        <w:jc w:val="both"/>
        <w:rPr>
          <w:rFonts w:ascii="Arial" w:hAnsi="Arial" w:cs="Arial"/>
        </w:rPr>
      </w:pPr>
      <w:r w:rsidRPr="00A701C3">
        <w:rPr>
          <w:rFonts w:ascii="Arial" w:hAnsi="Arial" w:cs="Arial"/>
        </w:rPr>
        <w:t>Fokus Ministarstva u 202</w:t>
      </w:r>
      <w:r w:rsidR="003237DC">
        <w:rPr>
          <w:rFonts w:ascii="Arial" w:hAnsi="Arial" w:cs="Arial"/>
        </w:rPr>
        <w:t>3</w:t>
      </w:r>
      <w:r w:rsidRPr="00A701C3">
        <w:rPr>
          <w:rFonts w:ascii="Arial" w:hAnsi="Arial" w:cs="Arial"/>
        </w:rPr>
        <w:t xml:space="preserve"> godin</w:t>
      </w:r>
      <w:r w:rsidR="00243F02" w:rsidRPr="00A701C3">
        <w:rPr>
          <w:rFonts w:ascii="Arial" w:hAnsi="Arial" w:cs="Arial"/>
        </w:rPr>
        <w:t>i</w:t>
      </w:r>
      <w:r w:rsidRPr="00A701C3">
        <w:rPr>
          <w:rFonts w:ascii="Arial" w:hAnsi="Arial" w:cs="Arial"/>
        </w:rPr>
        <w:t xml:space="preserve"> bit</w:t>
      </w:r>
      <w:r w:rsidR="00243F02" w:rsidRPr="00A701C3">
        <w:rPr>
          <w:rFonts w:ascii="Arial" w:hAnsi="Arial" w:cs="Arial"/>
        </w:rPr>
        <w:t>i</w:t>
      </w:r>
      <w:r w:rsidR="005C66D5" w:rsidRPr="00A701C3">
        <w:rPr>
          <w:rFonts w:ascii="Arial" w:hAnsi="Arial" w:cs="Arial"/>
        </w:rPr>
        <w:t xml:space="preserve"> će</w:t>
      </w:r>
      <w:r w:rsidRPr="00A701C3">
        <w:rPr>
          <w:rFonts w:ascii="Arial" w:hAnsi="Arial" w:cs="Arial"/>
        </w:rPr>
        <w:t xml:space="preserve"> i unaprjeđenje sustava unutarnjih poslova s ciljem pružanja brže, učinkovitije i modernije uslugu građanima u upravnim procesima</w:t>
      </w:r>
      <w:r w:rsidR="001E36F6" w:rsidRPr="00A701C3">
        <w:rPr>
          <w:rFonts w:ascii="Arial" w:hAnsi="Arial" w:cs="Arial"/>
        </w:rPr>
        <w:t>.</w:t>
      </w:r>
    </w:p>
    <w:p w:rsidR="00717CE6" w:rsidRPr="00A701C3" w:rsidRDefault="00717CE6" w:rsidP="00380EDE">
      <w:pPr>
        <w:spacing w:line="360" w:lineRule="auto"/>
        <w:jc w:val="both"/>
        <w:rPr>
          <w:rFonts w:ascii="Arial" w:hAnsi="Arial" w:cs="Arial"/>
        </w:rPr>
      </w:pPr>
    </w:p>
    <w:p w:rsidR="003979BC" w:rsidRPr="00A701C3" w:rsidRDefault="003979BC" w:rsidP="00380EDE">
      <w:pPr>
        <w:spacing w:line="360" w:lineRule="auto"/>
        <w:jc w:val="both"/>
        <w:rPr>
          <w:rFonts w:ascii="Arial" w:hAnsi="Arial" w:cs="Arial"/>
        </w:rPr>
      </w:pPr>
      <w:r w:rsidRPr="00A701C3">
        <w:rPr>
          <w:rFonts w:ascii="Arial" w:hAnsi="Arial" w:cs="Arial"/>
        </w:rPr>
        <w:t xml:space="preserve">Ministarstvo </w:t>
      </w:r>
      <w:r w:rsidR="001E36F6" w:rsidRPr="00A701C3">
        <w:rPr>
          <w:rFonts w:ascii="Arial" w:hAnsi="Arial" w:cs="Arial"/>
        </w:rPr>
        <w:t xml:space="preserve">će </w:t>
      </w:r>
      <w:r w:rsidR="00380EDE" w:rsidRPr="00A701C3">
        <w:rPr>
          <w:rFonts w:ascii="Arial" w:hAnsi="Arial" w:cs="Arial"/>
        </w:rPr>
        <w:t xml:space="preserve">i </w:t>
      </w:r>
      <w:r w:rsidR="001E36F6" w:rsidRPr="00A701C3">
        <w:rPr>
          <w:rFonts w:ascii="Arial" w:hAnsi="Arial" w:cs="Arial"/>
        </w:rPr>
        <w:t>u 202</w:t>
      </w:r>
      <w:r w:rsidR="003237DC">
        <w:rPr>
          <w:rFonts w:ascii="Arial" w:hAnsi="Arial" w:cs="Arial"/>
        </w:rPr>
        <w:t>3</w:t>
      </w:r>
      <w:r w:rsidR="001E36F6" w:rsidRPr="00A701C3">
        <w:rPr>
          <w:rFonts w:ascii="Arial" w:hAnsi="Arial" w:cs="Arial"/>
        </w:rPr>
        <w:t xml:space="preserve">. godini </w:t>
      </w:r>
      <w:r w:rsidRPr="00A701C3">
        <w:rPr>
          <w:rFonts w:ascii="Arial" w:hAnsi="Arial" w:cs="Arial"/>
        </w:rPr>
        <w:t>nastav</w:t>
      </w:r>
      <w:r w:rsidR="00380EDE" w:rsidRPr="00A701C3">
        <w:rPr>
          <w:rFonts w:ascii="Arial" w:hAnsi="Arial" w:cs="Arial"/>
        </w:rPr>
        <w:t>iti</w:t>
      </w:r>
      <w:r w:rsidRPr="00A701C3">
        <w:rPr>
          <w:rFonts w:ascii="Arial" w:hAnsi="Arial" w:cs="Arial"/>
        </w:rPr>
        <w:t xml:space="preserve"> </w:t>
      </w:r>
      <w:r w:rsidR="001E36F6" w:rsidRPr="00A701C3">
        <w:rPr>
          <w:rFonts w:ascii="Arial" w:hAnsi="Arial" w:cs="Arial"/>
        </w:rPr>
        <w:t xml:space="preserve">s </w:t>
      </w:r>
      <w:r w:rsidRPr="00A701C3">
        <w:rPr>
          <w:rFonts w:ascii="Arial" w:hAnsi="Arial" w:cs="Arial"/>
        </w:rPr>
        <w:t>obavlja</w:t>
      </w:r>
      <w:r w:rsidR="001E36F6" w:rsidRPr="00A701C3">
        <w:rPr>
          <w:rFonts w:ascii="Arial" w:hAnsi="Arial" w:cs="Arial"/>
        </w:rPr>
        <w:t>njem</w:t>
      </w:r>
      <w:r w:rsidRPr="00A701C3">
        <w:rPr>
          <w:rFonts w:ascii="Arial" w:hAnsi="Arial" w:cs="Arial"/>
        </w:rPr>
        <w:t xml:space="preserve"> svoj</w:t>
      </w:r>
      <w:r w:rsidR="001E36F6" w:rsidRPr="00A701C3">
        <w:rPr>
          <w:rFonts w:ascii="Arial" w:hAnsi="Arial" w:cs="Arial"/>
        </w:rPr>
        <w:t>e</w:t>
      </w:r>
      <w:r w:rsidRPr="00A701C3">
        <w:rPr>
          <w:rFonts w:ascii="Arial" w:hAnsi="Arial" w:cs="Arial"/>
        </w:rPr>
        <w:t xml:space="preserve"> osnovn</w:t>
      </w:r>
      <w:r w:rsidR="001E36F6" w:rsidRPr="00A701C3">
        <w:rPr>
          <w:rFonts w:ascii="Arial" w:hAnsi="Arial" w:cs="Arial"/>
        </w:rPr>
        <w:t>e</w:t>
      </w:r>
      <w:r w:rsidRPr="00A701C3">
        <w:rPr>
          <w:rFonts w:ascii="Arial" w:hAnsi="Arial" w:cs="Arial"/>
        </w:rPr>
        <w:t xml:space="preserve"> svrh</w:t>
      </w:r>
      <w:r w:rsidR="001E36F6" w:rsidRPr="00A701C3">
        <w:rPr>
          <w:rFonts w:ascii="Arial" w:hAnsi="Arial" w:cs="Arial"/>
        </w:rPr>
        <w:t>e</w:t>
      </w:r>
      <w:r w:rsidRPr="00A701C3">
        <w:rPr>
          <w:rFonts w:ascii="Arial" w:hAnsi="Arial" w:cs="Arial"/>
        </w:rPr>
        <w:t xml:space="preserve">, a to je legitimno i profesionalno </w:t>
      </w:r>
      <w:r w:rsidR="001E36F6" w:rsidRPr="00A701C3">
        <w:rPr>
          <w:rFonts w:ascii="Arial" w:hAnsi="Arial" w:cs="Arial"/>
        </w:rPr>
        <w:t>o</w:t>
      </w:r>
      <w:r w:rsidRPr="00A701C3">
        <w:rPr>
          <w:rFonts w:ascii="Arial" w:hAnsi="Arial" w:cs="Arial"/>
        </w:rPr>
        <w:t xml:space="preserve">čuvanje nacionalnog ustavnopravnog poretka i mira, odnosno hrvatske i europske sigurnosti. </w:t>
      </w:r>
    </w:p>
    <w:p w:rsidR="003979BC" w:rsidRPr="005C66D5" w:rsidRDefault="003979BC" w:rsidP="00380EDE">
      <w:pPr>
        <w:tabs>
          <w:tab w:val="left" w:pos="1134"/>
        </w:tabs>
        <w:spacing w:after="0" w:line="360" w:lineRule="auto"/>
        <w:jc w:val="both"/>
        <w:rPr>
          <w:rFonts w:ascii="Arial" w:eastAsia="MS Mincho" w:hAnsi="Arial" w:cs="Arial"/>
          <w:bCs/>
          <w:color w:val="FF0000"/>
          <w:lang w:eastAsia="ja-JP"/>
        </w:rPr>
      </w:pPr>
    </w:p>
    <w:p w:rsidR="005F1F60" w:rsidRDefault="005F1F60" w:rsidP="00380EDE">
      <w:pPr>
        <w:tabs>
          <w:tab w:val="left" w:pos="1134"/>
        </w:tabs>
        <w:spacing w:after="0" w:line="360" w:lineRule="auto"/>
        <w:jc w:val="both"/>
        <w:rPr>
          <w:rFonts w:ascii="Arial" w:eastAsia="MS Mincho" w:hAnsi="Arial" w:cs="Arial"/>
          <w:bCs/>
          <w:sz w:val="24"/>
          <w:szCs w:val="24"/>
          <w:lang w:eastAsia="ja-JP"/>
        </w:rPr>
      </w:pPr>
    </w:p>
    <w:p w:rsidR="005F1F60" w:rsidRDefault="005F1F60" w:rsidP="00380EDE">
      <w:pPr>
        <w:tabs>
          <w:tab w:val="left" w:pos="1134"/>
        </w:tabs>
        <w:spacing w:after="0" w:line="240" w:lineRule="auto"/>
        <w:jc w:val="both"/>
        <w:rPr>
          <w:rFonts w:ascii="Arial" w:eastAsia="MS Mincho" w:hAnsi="Arial" w:cs="Arial"/>
          <w:bCs/>
          <w:sz w:val="24"/>
          <w:szCs w:val="24"/>
          <w:lang w:eastAsia="ja-JP"/>
        </w:rPr>
      </w:pPr>
    </w:p>
    <w:p w:rsidR="005F1F60" w:rsidRDefault="005F1F60" w:rsidP="00380EDE">
      <w:pPr>
        <w:tabs>
          <w:tab w:val="left" w:pos="1134"/>
        </w:tabs>
        <w:spacing w:after="0" w:line="240" w:lineRule="auto"/>
        <w:jc w:val="both"/>
        <w:rPr>
          <w:rFonts w:ascii="Arial" w:eastAsia="MS Mincho" w:hAnsi="Arial" w:cs="Arial"/>
          <w:bCs/>
          <w:sz w:val="24"/>
          <w:szCs w:val="24"/>
          <w:lang w:eastAsia="ja-JP"/>
        </w:rPr>
      </w:pPr>
    </w:p>
    <w:p w:rsidR="005F1F60" w:rsidRDefault="005F1F60" w:rsidP="005F1F60">
      <w:pPr>
        <w:tabs>
          <w:tab w:val="left" w:pos="1134"/>
        </w:tabs>
        <w:spacing w:after="0" w:line="240" w:lineRule="auto"/>
        <w:jc w:val="both"/>
        <w:rPr>
          <w:rFonts w:ascii="Arial" w:eastAsia="MS Mincho" w:hAnsi="Arial" w:cs="Arial"/>
          <w:bCs/>
          <w:sz w:val="24"/>
          <w:szCs w:val="24"/>
          <w:lang w:eastAsia="ja-JP"/>
        </w:rPr>
      </w:pPr>
    </w:p>
    <w:p w:rsidR="005F1F60" w:rsidRDefault="005F1F60" w:rsidP="005F1F60">
      <w:pPr>
        <w:spacing w:after="0" w:line="240" w:lineRule="auto"/>
        <w:rPr>
          <w:rFonts w:ascii="Arial" w:eastAsia="MS Mincho" w:hAnsi="Arial" w:cs="Arial"/>
          <w:bCs/>
          <w:lang w:eastAsia="ja-JP"/>
        </w:rPr>
        <w:sectPr w:rsidR="005F1F60" w:rsidSect="007F71F8">
          <w:type w:val="continuous"/>
          <w:pgSz w:w="11906" w:h="16838"/>
          <w:pgMar w:top="1418" w:right="1418" w:bottom="1418" w:left="1418" w:header="709" w:footer="709" w:gutter="0"/>
          <w:pgNumType w:start="1"/>
          <w:cols w:space="720"/>
        </w:sectPr>
      </w:pPr>
    </w:p>
    <w:tbl>
      <w:tblPr>
        <w:tblStyle w:val="Reetkatablice"/>
        <w:tblW w:w="0" w:type="auto"/>
        <w:tblInd w:w="0" w:type="dxa"/>
        <w:tblLook w:val="04A0" w:firstRow="1" w:lastRow="0" w:firstColumn="1" w:lastColumn="0" w:noHBand="0" w:noVBand="1"/>
      </w:tblPr>
      <w:tblGrid>
        <w:gridCol w:w="12767"/>
      </w:tblGrid>
      <w:tr w:rsidR="005F1F60" w:rsidTr="005F1F60">
        <w:trPr>
          <w:trHeight w:val="288"/>
        </w:trPr>
        <w:tc>
          <w:tcPr>
            <w:tcW w:w="12767" w:type="dxa"/>
            <w:tcBorders>
              <w:top w:val="single" w:sz="4" w:space="0" w:color="auto"/>
              <w:left w:val="single" w:sz="4" w:space="0" w:color="auto"/>
              <w:bottom w:val="single" w:sz="4" w:space="0" w:color="auto"/>
              <w:right w:val="single" w:sz="4" w:space="0" w:color="auto"/>
            </w:tcBorders>
            <w:shd w:val="clear" w:color="auto" w:fill="365F91"/>
            <w:hideMark/>
          </w:tcPr>
          <w:p w:rsidR="005F1F60" w:rsidRDefault="008C452D" w:rsidP="008C452D">
            <w:pPr>
              <w:pStyle w:val="Naslov2"/>
              <w:spacing w:line="240" w:lineRule="auto"/>
              <w:jc w:val="center"/>
              <w:outlineLvl w:val="1"/>
              <w:rPr>
                <w:b/>
                <w:sz w:val="22"/>
                <w:szCs w:val="22"/>
              </w:rPr>
            </w:pPr>
            <w:bookmarkStart w:id="29" w:name="_Toc61608703"/>
            <w:bookmarkStart w:id="30" w:name="_Toc64279212"/>
            <w:bookmarkStart w:id="31" w:name="_Toc96417912"/>
            <w:bookmarkStart w:id="32" w:name="_Toc161385879"/>
            <w:bookmarkStart w:id="33" w:name="_Toc161385977"/>
            <w:r>
              <w:rPr>
                <w:b/>
                <w:sz w:val="22"/>
                <w:szCs w:val="22"/>
              </w:rPr>
              <w:lastRenderedPageBreak/>
              <w:t>4.</w:t>
            </w:r>
            <w:r w:rsidR="005F1F60">
              <w:rPr>
                <w:b/>
                <w:sz w:val="22"/>
                <w:szCs w:val="22"/>
              </w:rPr>
              <w:t xml:space="preserve"> ORGANIZACIJSKA STRUKTURA</w:t>
            </w:r>
            <w:bookmarkEnd w:id="29"/>
            <w:bookmarkEnd w:id="30"/>
            <w:bookmarkEnd w:id="31"/>
            <w:bookmarkEnd w:id="32"/>
            <w:bookmarkEnd w:id="33"/>
          </w:p>
        </w:tc>
      </w:tr>
    </w:tbl>
    <w:p w:rsidR="005F1F60" w:rsidRDefault="005F1F60" w:rsidP="005F1F60">
      <w:pPr>
        <w:tabs>
          <w:tab w:val="left" w:pos="1134"/>
        </w:tabs>
        <w:spacing w:after="0" w:line="240" w:lineRule="auto"/>
        <w:jc w:val="both"/>
        <w:rPr>
          <w:rFonts w:ascii="Arial" w:eastAsia="MS Mincho" w:hAnsi="Arial" w:cs="Arial"/>
          <w:bCs/>
          <w:noProof/>
          <w:sz w:val="24"/>
          <w:szCs w:val="24"/>
          <w:lang w:eastAsia="hr-HR"/>
        </w:rPr>
      </w:pPr>
      <w:r>
        <w:rPr>
          <w:rFonts w:ascii="Arial" w:eastAsia="MS Mincho" w:hAnsi="Arial" w:cs="Arial"/>
          <w:noProof/>
          <w:sz w:val="24"/>
          <w:szCs w:val="24"/>
          <w:lang w:eastAsia="hr-HR"/>
        </w:rPr>
        <w:drawing>
          <wp:inline distT="0" distB="0" distL="0" distR="0">
            <wp:extent cx="8896350" cy="6029325"/>
            <wp:effectExtent l="0" t="0" r="0" b="9525"/>
            <wp:docPr id="3" name="Slika 3" descr="Ustroj MUP RH Org Shema -13-01-202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4" descr="Ustroj MUP RH Org Shema -13-01-2022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6350" cy="6029325"/>
                    </a:xfrm>
                    <a:prstGeom prst="rect">
                      <a:avLst/>
                    </a:prstGeom>
                    <a:noFill/>
                    <a:ln>
                      <a:noFill/>
                    </a:ln>
                  </pic:spPr>
                </pic:pic>
              </a:graphicData>
            </a:graphic>
          </wp:inline>
        </w:drawing>
      </w:r>
    </w:p>
    <w:p w:rsidR="00CF1B17" w:rsidRDefault="00CF1B17" w:rsidP="005F1F60">
      <w:pPr>
        <w:pStyle w:val="Naslov2"/>
        <w:jc w:val="both"/>
        <w:rPr>
          <w:b/>
          <w:noProof/>
          <w:lang w:eastAsia="hr-HR"/>
        </w:rPr>
      </w:pPr>
      <w:bookmarkStart w:id="34" w:name="_Toc161385880"/>
      <w:bookmarkStart w:id="35" w:name="_Toc161385978"/>
      <w:bookmarkStart w:id="36" w:name="_Toc96417913"/>
      <w:bookmarkStart w:id="37" w:name="_Toc96350301"/>
      <w:r w:rsidRPr="00CF1B17">
        <w:rPr>
          <w:b/>
          <w:noProof/>
          <w:lang w:eastAsia="hr-HR"/>
        </w:rPr>
        <w:lastRenderedPageBreak/>
        <w:drawing>
          <wp:inline distT="0" distB="0" distL="0" distR="0">
            <wp:extent cx="8891270" cy="4758244"/>
            <wp:effectExtent l="0" t="0" r="5080" b="4445"/>
            <wp:docPr id="5" name="Slika 5" descr="C:\Users\jvukas\Desktop\Ustroj MUP RH - RAVNATELJSTVO POLICIJE-19-12-2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vukas\Desktop\Ustroj MUP RH - RAVNATELJSTVO POLICIJE-19-12-202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91270" cy="4758244"/>
                    </a:xfrm>
                    <a:prstGeom prst="rect">
                      <a:avLst/>
                    </a:prstGeom>
                    <a:noFill/>
                    <a:ln>
                      <a:noFill/>
                    </a:ln>
                  </pic:spPr>
                </pic:pic>
              </a:graphicData>
            </a:graphic>
          </wp:inline>
        </w:drawing>
      </w:r>
      <w:bookmarkEnd w:id="34"/>
      <w:bookmarkEnd w:id="35"/>
    </w:p>
    <w:p w:rsidR="00DD695E" w:rsidRDefault="005F1F60" w:rsidP="00DD695E">
      <w:pPr>
        <w:pStyle w:val="Naslov2"/>
        <w:numPr>
          <w:ilvl w:val="0"/>
          <w:numId w:val="2"/>
        </w:numPr>
        <w:jc w:val="both"/>
        <w:rPr>
          <w:b/>
          <w:noProof/>
          <w:lang w:eastAsia="hr-HR"/>
        </w:rPr>
      </w:pPr>
      <w:bookmarkStart w:id="38" w:name="_Toc161385881"/>
      <w:bookmarkStart w:id="39" w:name="_Toc161385979"/>
      <w:r>
        <w:rPr>
          <w:b/>
        </w:rPr>
        <w:t>ORGANIZACIJSKA STRUKTURA</w:t>
      </w:r>
      <w:bookmarkEnd w:id="36"/>
      <w:bookmarkEnd w:id="37"/>
    </w:p>
    <w:p w:rsidR="005F1F60" w:rsidRDefault="005F1F60" w:rsidP="00DD695E">
      <w:pPr>
        <w:pStyle w:val="Naslov2"/>
        <w:numPr>
          <w:ilvl w:val="0"/>
          <w:numId w:val="2"/>
        </w:numPr>
        <w:jc w:val="both"/>
        <w:rPr>
          <w:b/>
        </w:rPr>
      </w:pPr>
      <w:r>
        <w:rPr>
          <w:b/>
          <w:noProof/>
          <w:lang w:eastAsia="hr-HR"/>
        </w:rPr>
        <w:lastRenderedPageBreak/>
        <w:drawing>
          <wp:inline distT="0" distB="0" distL="0" distR="0">
            <wp:extent cx="8886825" cy="6124575"/>
            <wp:effectExtent l="0" t="0" r="9525" b="9525"/>
            <wp:docPr id="1" name="Slika 1" descr="Ustroj MUP RH - RCZ-13-01-202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6" descr="Ustroj MUP RH - RCZ-13-01-2022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886825" cy="6124575"/>
                    </a:xfrm>
                    <a:prstGeom prst="rect">
                      <a:avLst/>
                    </a:prstGeom>
                    <a:noFill/>
                    <a:ln>
                      <a:noFill/>
                    </a:ln>
                  </pic:spPr>
                </pic:pic>
              </a:graphicData>
            </a:graphic>
          </wp:inline>
        </w:drawing>
      </w:r>
      <w:bookmarkEnd w:id="38"/>
      <w:bookmarkEnd w:id="39"/>
    </w:p>
    <w:p w:rsidR="005F1F60" w:rsidRDefault="005F1F60" w:rsidP="005F1F60">
      <w:pPr>
        <w:tabs>
          <w:tab w:val="left" w:pos="1134"/>
        </w:tabs>
        <w:spacing w:after="0" w:line="240" w:lineRule="auto"/>
        <w:jc w:val="both"/>
        <w:rPr>
          <w:rFonts w:ascii="Arial" w:eastAsia="MS Mincho" w:hAnsi="Arial" w:cs="Arial"/>
          <w:bCs/>
          <w:noProof/>
          <w:sz w:val="24"/>
          <w:szCs w:val="24"/>
          <w:lang w:eastAsia="hr-HR"/>
        </w:rPr>
      </w:pPr>
    </w:p>
    <w:p w:rsidR="005F1F60" w:rsidRDefault="005F1F60" w:rsidP="005F1F60">
      <w:pPr>
        <w:spacing w:after="0" w:line="360" w:lineRule="auto"/>
        <w:rPr>
          <w:rFonts w:ascii="Arial" w:eastAsia="MS Mincho" w:hAnsi="Arial" w:cs="Arial"/>
          <w:bCs/>
          <w:sz w:val="24"/>
          <w:szCs w:val="24"/>
          <w:lang w:eastAsia="ja-JP"/>
        </w:rPr>
        <w:sectPr w:rsidR="005F1F60">
          <w:pgSz w:w="16838" w:h="11906" w:orient="landscape"/>
          <w:pgMar w:top="567" w:right="1418" w:bottom="907" w:left="1418" w:header="709" w:footer="709" w:gutter="0"/>
          <w:cols w:space="720"/>
        </w:sectPr>
      </w:pPr>
    </w:p>
    <w:p w:rsidR="005F1F60" w:rsidRPr="00FE22AA" w:rsidRDefault="005F1F60" w:rsidP="005F1F60">
      <w:pPr>
        <w:tabs>
          <w:tab w:val="left" w:pos="1134"/>
        </w:tabs>
        <w:spacing w:after="0" w:line="360" w:lineRule="auto"/>
        <w:jc w:val="both"/>
        <w:rPr>
          <w:rFonts w:ascii="Arial" w:eastAsia="MS Mincho" w:hAnsi="Arial" w:cs="Arial"/>
          <w:bCs/>
          <w:lang w:eastAsia="ja-JP"/>
        </w:rPr>
      </w:pPr>
      <w:r w:rsidRPr="00FE22AA">
        <w:rPr>
          <w:rFonts w:ascii="Arial" w:eastAsia="MS Mincho" w:hAnsi="Arial" w:cs="Arial"/>
          <w:bCs/>
          <w:lang w:eastAsia="ja-JP"/>
        </w:rPr>
        <w:lastRenderedPageBreak/>
        <w:t>Godišnji plan rada Ministarstva je podložan promjenama tijekom godine ukoliko se usvoje akti strateškog planiranja, a odnose se na rad Ministarstva.</w:t>
      </w:r>
    </w:p>
    <w:p w:rsidR="005F1F60" w:rsidRPr="00FE22AA" w:rsidRDefault="005F1F60" w:rsidP="005F1F60">
      <w:pPr>
        <w:tabs>
          <w:tab w:val="left" w:pos="1134"/>
        </w:tabs>
        <w:spacing w:after="0" w:line="360" w:lineRule="auto"/>
        <w:jc w:val="both"/>
        <w:rPr>
          <w:rFonts w:ascii="Arial" w:eastAsia="MS Mincho" w:hAnsi="Arial" w:cs="Arial"/>
          <w:bCs/>
          <w:lang w:eastAsia="ja-JP"/>
        </w:rPr>
      </w:pPr>
    </w:p>
    <w:p w:rsidR="005F1F60" w:rsidRPr="00FE22AA" w:rsidRDefault="005F1F60" w:rsidP="005F1F60">
      <w:pPr>
        <w:tabs>
          <w:tab w:val="left" w:pos="1134"/>
        </w:tabs>
        <w:spacing w:after="0" w:line="360" w:lineRule="auto"/>
        <w:jc w:val="both"/>
        <w:rPr>
          <w:rFonts w:ascii="Arial" w:eastAsia="MS Mincho" w:hAnsi="Arial" w:cs="Arial"/>
          <w:bCs/>
          <w:color w:val="FF0000"/>
          <w:lang w:eastAsia="ja-JP"/>
        </w:rPr>
      </w:pPr>
    </w:p>
    <w:tbl>
      <w:tblPr>
        <w:tblW w:w="9606" w:type="dxa"/>
        <w:tblLook w:val="04A0" w:firstRow="1" w:lastRow="0" w:firstColumn="1" w:lastColumn="0" w:noHBand="0" w:noVBand="1"/>
      </w:tblPr>
      <w:tblGrid>
        <w:gridCol w:w="10038"/>
      </w:tblGrid>
      <w:tr w:rsidR="000E3D92" w:rsidRPr="00FE22AA" w:rsidTr="00430FB9">
        <w:tc>
          <w:tcPr>
            <w:tcW w:w="9606" w:type="dxa"/>
          </w:tcPr>
          <w:p w:rsidR="005F1F60" w:rsidRPr="00FE22AA" w:rsidRDefault="005F1F60">
            <w:pPr>
              <w:spacing w:after="0" w:line="240" w:lineRule="auto"/>
              <w:rPr>
                <w:rFonts w:ascii="Arial" w:hAnsi="Arial" w:cs="Arial"/>
                <w:color w:val="FF0000"/>
              </w:rPr>
            </w:pPr>
          </w:p>
        </w:tc>
      </w:tr>
      <w:tr w:rsidR="000E3D92" w:rsidRPr="00FE22AA" w:rsidTr="00430FB9">
        <w:tc>
          <w:tcPr>
            <w:tcW w:w="9606" w:type="dxa"/>
          </w:tcPr>
          <w:tbl>
            <w:tblPr>
              <w:tblW w:w="9606" w:type="dxa"/>
              <w:tblLook w:val="04A0" w:firstRow="1" w:lastRow="0" w:firstColumn="1" w:lastColumn="0" w:noHBand="0" w:noVBand="1"/>
            </w:tblPr>
            <w:tblGrid>
              <w:gridCol w:w="9822"/>
            </w:tblGrid>
            <w:tr w:rsidR="00430FB9" w:rsidRPr="00FE22AA" w:rsidTr="001054B6">
              <w:tc>
                <w:tcPr>
                  <w:tcW w:w="9606" w:type="dxa"/>
                  <w:shd w:val="clear" w:color="auto" w:fill="auto"/>
                </w:tcPr>
                <w:tbl>
                  <w:tblPr>
                    <w:tblW w:w="9606" w:type="dxa"/>
                    <w:tblLook w:val="04A0" w:firstRow="1" w:lastRow="0" w:firstColumn="1" w:lastColumn="0" w:noHBand="0" w:noVBand="1"/>
                  </w:tblPr>
                  <w:tblGrid>
                    <w:gridCol w:w="9606"/>
                  </w:tblGrid>
                  <w:tr w:rsidR="00A701C3" w:rsidRPr="00383C0B" w:rsidTr="003151FE">
                    <w:tc>
                      <w:tcPr>
                        <w:tcW w:w="9606" w:type="dxa"/>
                        <w:shd w:val="clear" w:color="auto" w:fill="auto"/>
                      </w:tcPr>
                      <w:p w:rsidR="00A701C3" w:rsidRPr="00383C0B" w:rsidRDefault="00A701C3" w:rsidP="00A701C3">
                        <w:pPr>
                          <w:spacing w:after="0" w:line="240" w:lineRule="auto"/>
                          <w:rPr>
                            <w:rFonts w:ascii="Arial" w:hAnsi="Arial" w:cs="Arial"/>
                            <w:sz w:val="24"/>
                            <w:szCs w:val="24"/>
                          </w:rPr>
                        </w:pPr>
                        <w:r w:rsidRPr="00383C0B">
                          <w:rPr>
                            <w:rFonts w:ascii="Arial" w:hAnsi="Arial" w:cs="Arial"/>
                            <w:sz w:val="24"/>
                            <w:szCs w:val="24"/>
                          </w:rPr>
                          <w:t xml:space="preserve">KLASA: </w:t>
                        </w:r>
                        <w:r>
                          <w:rPr>
                            <w:rFonts w:ascii="Arial" w:hAnsi="Arial" w:cs="Arial"/>
                            <w:sz w:val="24"/>
                            <w:szCs w:val="24"/>
                          </w:rPr>
                          <w:fldChar w:fldCharType="begin">
                            <w:ffData>
                              <w:name w:val="OznakaTajnostiKlasa1"/>
                              <w:enabled/>
                              <w:calcOnExit w:val="0"/>
                              <w:textInput/>
                            </w:ffData>
                          </w:fldChar>
                        </w:r>
                        <w:bookmarkStart w:id="40" w:name="OznakaTajnostiKlasa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NK-001-02/23-01/14</w:t>
                        </w:r>
                        <w:r>
                          <w:rPr>
                            <w:rFonts w:ascii="Arial" w:hAnsi="Arial" w:cs="Arial"/>
                            <w:sz w:val="24"/>
                            <w:szCs w:val="24"/>
                          </w:rPr>
                          <w:fldChar w:fldCharType="end"/>
                        </w:r>
                        <w:bookmarkEnd w:id="40"/>
                      </w:p>
                    </w:tc>
                  </w:tr>
                  <w:tr w:rsidR="00A701C3" w:rsidRPr="00383C0B" w:rsidTr="003151FE">
                    <w:tc>
                      <w:tcPr>
                        <w:tcW w:w="9606" w:type="dxa"/>
                        <w:shd w:val="clear" w:color="auto" w:fill="auto"/>
                      </w:tcPr>
                      <w:p w:rsidR="00A701C3" w:rsidRPr="00383C0B" w:rsidRDefault="00A701C3" w:rsidP="00A701C3">
                        <w:pPr>
                          <w:spacing w:after="0" w:line="240" w:lineRule="auto"/>
                          <w:rPr>
                            <w:rFonts w:ascii="Arial" w:hAnsi="Arial" w:cs="Arial"/>
                            <w:sz w:val="24"/>
                            <w:szCs w:val="24"/>
                          </w:rPr>
                        </w:pPr>
                        <w:r w:rsidRPr="00383C0B">
                          <w:rPr>
                            <w:rFonts w:ascii="Arial" w:hAnsi="Arial" w:cs="Arial"/>
                            <w:sz w:val="24"/>
                            <w:szCs w:val="24"/>
                          </w:rPr>
                          <w:t xml:space="preserve">URBROJ:  </w:t>
                        </w:r>
                        <w:r w:rsidRPr="00383C0B">
                          <w:rPr>
                            <w:rFonts w:ascii="Arial" w:hAnsi="Arial" w:cs="Arial"/>
                            <w:sz w:val="24"/>
                            <w:szCs w:val="24"/>
                          </w:rPr>
                          <w:fldChar w:fldCharType="begin">
                            <w:ffData>
                              <w:name w:val="PismenoUrBroj1"/>
                              <w:enabled/>
                              <w:calcOnExit w:val="0"/>
                              <w:textInput/>
                            </w:ffData>
                          </w:fldChar>
                        </w:r>
                        <w:bookmarkStart w:id="41" w:name="PismenoUrBroj1"/>
                        <w:r w:rsidRPr="00383C0B">
                          <w:rPr>
                            <w:rFonts w:ascii="Arial" w:hAnsi="Arial" w:cs="Arial"/>
                            <w:sz w:val="24"/>
                            <w:szCs w:val="24"/>
                          </w:rPr>
                          <w:instrText xml:space="preserve"> FORMTEXT </w:instrText>
                        </w:r>
                        <w:r w:rsidRPr="00383C0B">
                          <w:rPr>
                            <w:rFonts w:ascii="Arial" w:hAnsi="Arial" w:cs="Arial"/>
                            <w:sz w:val="24"/>
                            <w:szCs w:val="24"/>
                          </w:rPr>
                        </w:r>
                        <w:r w:rsidRPr="00383C0B">
                          <w:rPr>
                            <w:rFonts w:ascii="Arial" w:hAnsi="Arial" w:cs="Arial"/>
                            <w:sz w:val="24"/>
                            <w:szCs w:val="24"/>
                          </w:rPr>
                          <w:fldChar w:fldCharType="separate"/>
                        </w:r>
                        <w:r w:rsidRPr="00383C0B">
                          <w:rPr>
                            <w:rFonts w:ascii="Arial" w:hAnsi="Arial" w:cs="Arial"/>
                            <w:sz w:val="24"/>
                            <w:szCs w:val="24"/>
                          </w:rPr>
                          <w:t>511-01-142-23-18</w:t>
                        </w:r>
                        <w:r w:rsidRPr="00383C0B">
                          <w:rPr>
                            <w:rFonts w:ascii="Arial" w:hAnsi="Arial" w:cs="Arial"/>
                            <w:sz w:val="24"/>
                            <w:szCs w:val="24"/>
                          </w:rPr>
                          <w:fldChar w:fldCharType="end"/>
                        </w:r>
                        <w:bookmarkEnd w:id="41"/>
                      </w:p>
                    </w:tc>
                  </w:tr>
                </w:tbl>
                <w:p w:rsidR="00430FB9" w:rsidRPr="00B57A25" w:rsidRDefault="00430FB9" w:rsidP="00430FB9">
                  <w:pPr>
                    <w:spacing w:after="0" w:line="240" w:lineRule="auto"/>
                    <w:rPr>
                      <w:rFonts w:ascii="Arial" w:eastAsia="Calibri" w:hAnsi="Arial" w:cs="Arial"/>
                      <w:color w:val="FF0000"/>
                    </w:rPr>
                  </w:pPr>
                </w:p>
              </w:tc>
            </w:tr>
            <w:tr w:rsidR="00430FB9" w:rsidRPr="00FE22AA" w:rsidTr="001054B6">
              <w:tc>
                <w:tcPr>
                  <w:tcW w:w="9606" w:type="dxa"/>
                  <w:shd w:val="clear" w:color="auto" w:fill="auto"/>
                </w:tcPr>
                <w:p w:rsidR="00430FB9" w:rsidRPr="00B57A25" w:rsidRDefault="00430FB9" w:rsidP="00430FB9">
                  <w:pPr>
                    <w:spacing w:after="0" w:line="240" w:lineRule="auto"/>
                    <w:rPr>
                      <w:rFonts w:ascii="Arial" w:eastAsia="Calibri" w:hAnsi="Arial" w:cs="Arial"/>
                      <w:color w:val="FF0000"/>
                    </w:rPr>
                  </w:pPr>
                </w:p>
              </w:tc>
            </w:tr>
            <w:tr w:rsidR="00430FB9" w:rsidRPr="00FE22AA" w:rsidTr="001054B6">
              <w:tc>
                <w:tcPr>
                  <w:tcW w:w="9606" w:type="dxa"/>
                  <w:shd w:val="clear" w:color="auto" w:fill="auto"/>
                </w:tcPr>
                <w:p w:rsidR="00430FB9" w:rsidRPr="00FE22AA" w:rsidRDefault="00430FB9" w:rsidP="00430FB9">
                  <w:pPr>
                    <w:spacing w:after="0" w:line="240" w:lineRule="auto"/>
                    <w:rPr>
                      <w:rFonts w:ascii="Arial" w:eastAsia="Calibri" w:hAnsi="Arial" w:cs="Arial"/>
                    </w:rPr>
                  </w:pPr>
                </w:p>
              </w:tc>
            </w:tr>
          </w:tbl>
          <w:p w:rsidR="00430FB9" w:rsidRPr="00FE22AA" w:rsidRDefault="00430FB9" w:rsidP="00430FB9">
            <w:pPr>
              <w:spacing w:after="0" w:line="240" w:lineRule="auto"/>
              <w:rPr>
                <w:rFonts w:ascii="Arial" w:eastAsia="Calibri" w:hAnsi="Arial" w:cs="Arial"/>
              </w:rPr>
            </w:pPr>
          </w:p>
          <w:p w:rsidR="005F1F60" w:rsidRPr="00FE22AA" w:rsidRDefault="005F1F60">
            <w:pPr>
              <w:spacing w:after="0" w:line="240" w:lineRule="auto"/>
              <w:rPr>
                <w:rFonts w:ascii="Arial" w:hAnsi="Arial" w:cs="Arial"/>
                <w:color w:val="FF0000"/>
              </w:rPr>
            </w:pPr>
          </w:p>
        </w:tc>
      </w:tr>
      <w:tr w:rsidR="000E3D92" w:rsidRPr="00FE22AA" w:rsidTr="005F1F60">
        <w:tc>
          <w:tcPr>
            <w:tcW w:w="9606" w:type="dxa"/>
          </w:tcPr>
          <w:p w:rsidR="005F1F60" w:rsidRPr="00FE22AA" w:rsidRDefault="005F1F60">
            <w:pPr>
              <w:spacing w:after="0" w:line="240" w:lineRule="auto"/>
              <w:rPr>
                <w:rFonts w:ascii="Arial" w:hAnsi="Arial" w:cs="Arial"/>
                <w:color w:val="FF0000"/>
              </w:rPr>
            </w:pPr>
          </w:p>
        </w:tc>
      </w:tr>
    </w:tbl>
    <w:p w:rsidR="005F1F60" w:rsidRPr="00FE22AA" w:rsidRDefault="005F1F60" w:rsidP="005F1F60">
      <w:pPr>
        <w:tabs>
          <w:tab w:val="left" w:pos="1134"/>
        </w:tabs>
        <w:spacing w:after="0" w:line="360" w:lineRule="auto"/>
        <w:jc w:val="both"/>
        <w:rPr>
          <w:rFonts w:ascii="Arial" w:eastAsia="MS Mincho" w:hAnsi="Arial" w:cs="Arial"/>
          <w:bCs/>
          <w:lang w:eastAsia="ja-JP"/>
        </w:rPr>
      </w:pPr>
    </w:p>
    <w:p w:rsidR="005F1F60" w:rsidRPr="00FE22AA" w:rsidRDefault="005F1F60" w:rsidP="005F1F60">
      <w:pPr>
        <w:tabs>
          <w:tab w:val="left" w:pos="1134"/>
        </w:tabs>
        <w:spacing w:after="0" w:line="360" w:lineRule="auto"/>
        <w:jc w:val="right"/>
        <w:rPr>
          <w:rFonts w:ascii="Arial" w:eastAsia="MS Mincho" w:hAnsi="Arial" w:cs="Arial"/>
          <w:b/>
          <w:bCs/>
          <w:lang w:eastAsia="ja-JP"/>
        </w:rPr>
      </w:pPr>
      <w:r w:rsidRPr="00FE22AA">
        <w:rPr>
          <w:rFonts w:ascii="Arial" w:eastAsia="MS Mincho" w:hAnsi="Arial" w:cs="Arial"/>
          <w:b/>
          <w:bCs/>
          <w:lang w:eastAsia="ja-JP"/>
        </w:rPr>
        <w:t xml:space="preserve">POTPREDSJEDNIK VLADE I MINISTAR </w:t>
      </w:r>
    </w:p>
    <w:p w:rsidR="000E3D92" w:rsidRPr="00FE22AA" w:rsidRDefault="00771CB9" w:rsidP="000E3D92">
      <w:pPr>
        <w:tabs>
          <w:tab w:val="left" w:pos="1134"/>
        </w:tabs>
        <w:spacing w:after="0" w:line="360" w:lineRule="auto"/>
        <w:jc w:val="center"/>
        <w:rPr>
          <w:rFonts w:ascii="Arial" w:eastAsia="MS Mincho" w:hAnsi="Arial" w:cs="Arial"/>
          <w:b/>
          <w:bCs/>
          <w:lang w:eastAsia="ja-JP"/>
        </w:rPr>
      </w:pPr>
      <w:r>
        <w:rPr>
          <w:rFonts w:ascii="Arial" w:eastAsia="MS Mincho" w:hAnsi="Arial" w:cs="Arial"/>
          <w:b/>
          <w:bCs/>
          <w:lang w:eastAsia="ja-JP"/>
        </w:rPr>
        <w:tab/>
      </w:r>
      <w:r>
        <w:rPr>
          <w:rFonts w:ascii="Arial" w:eastAsia="MS Mincho" w:hAnsi="Arial" w:cs="Arial"/>
          <w:b/>
          <w:bCs/>
          <w:lang w:eastAsia="ja-JP"/>
        </w:rPr>
        <w:tab/>
      </w:r>
      <w:r>
        <w:rPr>
          <w:rFonts w:ascii="Arial" w:eastAsia="MS Mincho" w:hAnsi="Arial" w:cs="Arial"/>
          <w:b/>
          <w:bCs/>
          <w:lang w:eastAsia="ja-JP"/>
        </w:rPr>
        <w:tab/>
      </w:r>
    </w:p>
    <w:p w:rsidR="005F1F60" w:rsidRPr="00FE22AA" w:rsidRDefault="000E3D92" w:rsidP="000E3D92">
      <w:pPr>
        <w:tabs>
          <w:tab w:val="left" w:pos="1134"/>
        </w:tabs>
        <w:spacing w:after="0" w:line="360" w:lineRule="auto"/>
        <w:jc w:val="center"/>
        <w:rPr>
          <w:rFonts w:ascii="Arial" w:eastAsia="MS Mincho" w:hAnsi="Arial" w:cs="Arial"/>
          <w:b/>
          <w:bCs/>
          <w:lang w:eastAsia="ja-JP"/>
        </w:rPr>
      </w:pPr>
      <w:r w:rsidRPr="00FE22AA">
        <w:rPr>
          <w:rFonts w:ascii="Arial" w:eastAsia="MS Mincho" w:hAnsi="Arial" w:cs="Arial"/>
          <w:b/>
          <w:bCs/>
          <w:lang w:eastAsia="ja-JP"/>
        </w:rPr>
        <w:t xml:space="preserve">                                                                  </w:t>
      </w:r>
      <w:r w:rsidR="00FE22AA">
        <w:rPr>
          <w:rFonts w:ascii="Arial" w:eastAsia="MS Mincho" w:hAnsi="Arial" w:cs="Arial"/>
          <w:b/>
          <w:bCs/>
          <w:lang w:eastAsia="ja-JP"/>
        </w:rPr>
        <w:t xml:space="preserve">    </w:t>
      </w:r>
      <w:r w:rsidR="00B57A25">
        <w:rPr>
          <w:rFonts w:ascii="Arial" w:eastAsia="MS Mincho" w:hAnsi="Arial" w:cs="Arial"/>
          <w:b/>
          <w:bCs/>
          <w:lang w:eastAsia="ja-JP"/>
        </w:rPr>
        <w:t xml:space="preserve">        </w:t>
      </w:r>
      <w:r w:rsidR="00FE22AA">
        <w:rPr>
          <w:rFonts w:ascii="Arial" w:eastAsia="MS Mincho" w:hAnsi="Arial" w:cs="Arial"/>
          <w:b/>
          <w:bCs/>
          <w:lang w:eastAsia="ja-JP"/>
        </w:rPr>
        <w:t xml:space="preserve"> </w:t>
      </w:r>
      <w:r w:rsidR="005F1F60" w:rsidRPr="00FE22AA">
        <w:rPr>
          <w:rFonts w:ascii="Arial" w:eastAsia="MS Mincho" w:hAnsi="Arial" w:cs="Arial"/>
          <w:b/>
          <w:bCs/>
          <w:lang w:eastAsia="ja-JP"/>
        </w:rPr>
        <w:t xml:space="preserve">dr. </w:t>
      </w:r>
      <w:proofErr w:type="spellStart"/>
      <w:r w:rsidR="005F1F60" w:rsidRPr="00FE22AA">
        <w:rPr>
          <w:rFonts w:ascii="Arial" w:eastAsia="MS Mincho" w:hAnsi="Arial" w:cs="Arial"/>
          <w:b/>
          <w:bCs/>
          <w:lang w:eastAsia="ja-JP"/>
        </w:rPr>
        <w:t>sc</w:t>
      </w:r>
      <w:proofErr w:type="spellEnd"/>
      <w:r w:rsidR="005F1F60" w:rsidRPr="00FE22AA">
        <w:rPr>
          <w:rFonts w:ascii="Arial" w:eastAsia="MS Mincho" w:hAnsi="Arial" w:cs="Arial"/>
          <w:b/>
          <w:bCs/>
          <w:lang w:eastAsia="ja-JP"/>
        </w:rPr>
        <w:t>. Davor Božinović</w:t>
      </w:r>
      <w:r w:rsidR="00521F21">
        <w:rPr>
          <w:rFonts w:ascii="Arial" w:eastAsia="MS Mincho" w:hAnsi="Arial" w:cs="Arial"/>
          <w:b/>
          <w:bCs/>
          <w:lang w:eastAsia="ja-JP"/>
        </w:rPr>
        <w:t>, v.r.</w:t>
      </w:r>
      <w:r w:rsidR="005F1F60" w:rsidRPr="00FE22AA">
        <w:rPr>
          <w:rFonts w:ascii="Arial" w:eastAsia="MS Mincho" w:hAnsi="Arial" w:cs="Arial"/>
          <w:b/>
          <w:bCs/>
          <w:lang w:eastAsia="ja-JP"/>
        </w:rPr>
        <w:t xml:space="preserve"> </w:t>
      </w:r>
    </w:p>
    <w:p w:rsidR="005F1F60" w:rsidRPr="00FE22AA" w:rsidRDefault="005F1F60" w:rsidP="005F1F60">
      <w:pPr>
        <w:tabs>
          <w:tab w:val="left" w:pos="1134"/>
        </w:tabs>
        <w:spacing w:after="0" w:line="360" w:lineRule="auto"/>
        <w:ind w:left="4248"/>
        <w:jc w:val="both"/>
        <w:rPr>
          <w:rFonts w:ascii="Arial" w:eastAsia="MS Mincho" w:hAnsi="Arial" w:cs="Arial"/>
          <w:bCs/>
          <w:lang w:eastAsia="ja-JP"/>
        </w:rPr>
      </w:pPr>
    </w:p>
    <w:p w:rsidR="005F1F60" w:rsidRPr="00FE22AA" w:rsidRDefault="005F1F60" w:rsidP="005F1F60">
      <w:pPr>
        <w:tabs>
          <w:tab w:val="left" w:pos="1134"/>
        </w:tabs>
        <w:spacing w:after="0" w:line="360" w:lineRule="auto"/>
        <w:ind w:left="4248"/>
        <w:jc w:val="both"/>
        <w:rPr>
          <w:rFonts w:ascii="Arial" w:eastAsia="MS Mincho" w:hAnsi="Arial" w:cs="Arial"/>
          <w:bCs/>
          <w:lang w:eastAsia="ja-JP"/>
        </w:rPr>
      </w:pPr>
      <w:r w:rsidRPr="00FE22AA">
        <w:rPr>
          <w:rFonts w:ascii="Arial" w:eastAsia="MS Mincho" w:hAnsi="Arial" w:cs="Arial"/>
          <w:bCs/>
          <w:lang w:eastAsia="ja-JP"/>
        </w:rPr>
        <w:tab/>
      </w:r>
      <w:r w:rsidRPr="00FE22AA">
        <w:rPr>
          <w:rFonts w:ascii="Arial" w:eastAsia="MS Mincho" w:hAnsi="Arial" w:cs="Arial"/>
          <w:bCs/>
          <w:lang w:eastAsia="ja-JP"/>
        </w:rPr>
        <w:tab/>
      </w:r>
      <w:r w:rsidRPr="00FE22AA">
        <w:rPr>
          <w:rFonts w:ascii="Arial" w:eastAsia="MS Mincho" w:hAnsi="Arial" w:cs="Arial"/>
          <w:bCs/>
          <w:lang w:eastAsia="ja-JP"/>
        </w:rPr>
        <w:tab/>
      </w:r>
      <w:r w:rsidRPr="00FE22AA">
        <w:rPr>
          <w:rFonts w:ascii="Arial" w:eastAsia="MS Mincho" w:hAnsi="Arial" w:cs="Arial"/>
          <w:bCs/>
          <w:lang w:eastAsia="ja-JP"/>
        </w:rPr>
        <w:tab/>
      </w:r>
      <w:r w:rsidRPr="00FE22AA">
        <w:rPr>
          <w:rFonts w:ascii="Arial" w:eastAsia="MS Mincho" w:hAnsi="Arial" w:cs="Arial"/>
          <w:bCs/>
          <w:lang w:eastAsia="ja-JP"/>
        </w:rPr>
        <w:tab/>
      </w:r>
      <w:r w:rsidRPr="00FE22AA">
        <w:rPr>
          <w:rFonts w:ascii="Arial" w:eastAsia="MS Mincho" w:hAnsi="Arial" w:cs="Arial"/>
          <w:b/>
          <w:bCs/>
          <w:lang w:eastAsia="ja-JP"/>
        </w:rPr>
        <w:t xml:space="preserve">          </w:t>
      </w:r>
    </w:p>
    <w:p w:rsidR="005F1F60" w:rsidRPr="00FE22AA" w:rsidRDefault="005F1F60" w:rsidP="005F1F60">
      <w:pPr>
        <w:tabs>
          <w:tab w:val="left" w:pos="1134"/>
        </w:tabs>
        <w:spacing w:after="0" w:line="240" w:lineRule="auto"/>
        <w:jc w:val="both"/>
        <w:rPr>
          <w:rFonts w:ascii="Arial" w:eastAsia="MS Mincho" w:hAnsi="Arial" w:cs="Arial"/>
          <w:b/>
          <w:bCs/>
          <w:lang w:eastAsia="ja-JP"/>
        </w:rPr>
      </w:pPr>
    </w:p>
    <w:p w:rsidR="005F1F60" w:rsidRPr="00FE22AA" w:rsidRDefault="005F1F60" w:rsidP="005F1F60">
      <w:pPr>
        <w:tabs>
          <w:tab w:val="left" w:pos="1134"/>
        </w:tabs>
        <w:spacing w:after="0" w:line="240" w:lineRule="auto"/>
        <w:jc w:val="both"/>
        <w:rPr>
          <w:rFonts w:ascii="Arial" w:eastAsia="MS Mincho" w:hAnsi="Arial" w:cs="Arial"/>
          <w:bCs/>
          <w:lang w:eastAsia="ja-JP"/>
        </w:rPr>
      </w:pPr>
      <w:r w:rsidRPr="00FE22AA">
        <w:rPr>
          <w:rFonts w:ascii="Arial" w:eastAsia="MS Mincho" w:hAnsi="Arial" w:cs="Arial"/>
          <w:bCs/>
          <w:lang w:eastAsia="ja-JP"/>
        </w:rPr>
        <w:t>PRILOG: Tablica</w:t>
      </w:r>
    </w:p>
    <w:p w:rsidR="005F1F60" w:rsidRPr="00FE22AA" w:rsidRDefault="005F1F60" w:rsidP="005F1F60">
      <w:pPr>
        <w:tabs>
          <w:tab w:val="left" w:pos="1134"/>
        </w:tabs>
        <w:spacing w:after="0" w:line="240" w:lineRule="auto"/>
        <w:jc w:val="both"/>
        <w:rPr>
          <w:rFonts w:ascii="Arial" w:eastAsia="MS Mincho" w:hAnsi="Arial" w:cs="Arial"/>
          <w:bCs/>
          <w:lang w:eastAsia="ja-JP"/>
        </w:rPr>
      </w:pPr>
    </w:p>
    <w:p w:rsidR="005F1F60" w:rsidRPr="00FE22AA" w:rsidRDefault="005F1F60" w:rsidP="005F1F60"/>
    <w:p w:rsidR="001163E0" w:rsidRPr="00FE22AA" w:rsidRDefault="001163E0"/>
    <w:sectPr w:rsidR="001163E0" w:rsidRPr="00FE22A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0628" w:rsidRDefault="00590628" w:rsidP="00E45D78">
      <w:pPr>
        <w:spacing w:after="0" w:line="240" w:lineRule="auto"/>
      </w:pPr>
      <w:r>
        <w:separator/>
      </w:r>
    </w:p>
  </w:endnote>
  <w:endnote w:type="continuationSeparator" w:id="0">
    <w:p w:rsidR="00590628" w:rsidRDefault="00590628" w:rsidP="00E45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rolinaBar-B39-25F2">
    <w:panose1 w:val="020B06030503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2FE" w:rsidRDefault="004922FE">
    <w:pPr>
      <w:pStyle w:val="Podnoje"/>
      <w:jc w:val="right"/>
    </w:pPr>
  </w:p>
  <w:p w:rsidR="00E45D78" w:rsidRDefault="00E45D78">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4448652"/>
      <w:docPartObj>
        <w:docPartGallery w:val="Page Numbers (Bottom of Page)"/>
        <w:docPartUnique/>
      </w:docPartObj>
    </w:sdtPr>
    <w:sdtEndPr/>
    <w:sdtContent>
      <w:p w:rsidR="004922FE" w:rsidRDefault="004922FE">
        <w:pPr>
          <w:pStyle w:val="Podnoje"/>
          <w:jc w:val="right"/>
        </w:pPr>
        <w:r>
          <w:fldChar w:fldCharType="begin"/>
        </w:r>
        <w:r>
          <w:instrText>PAGE   \* MERGEFORMAT</w:instrText>
        </w:r>
        <w:r>
          <w:fldChar w:fldCharType="separate"/>
        </w:r>
        <w:r w:rsidR="002B1EF7">
          <w:rPr>
            <w:noProof/>
          </w:rPr>
          <w:t>12</w:t>
        </w:r>
        <w:r>
          <w:fldChar w:fldCharType="end"/>
        </w:r>
      </w:p>
    </w:sdtContent>
  </w:sdt>
  <w:p w:rsidR="004922FE" w:rsidRDefault="004922F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0628" w:rsidRDefault="00590628" w:rsidP="00E45D78">
      <w:pPr>
        <w:spacing w:after="0" w:line="240" w:lineRule="auto"/>
      </w:pPr>
      <w:r>
        <w:separator/>
      </w:r>
    </w:p>
  </w:footnote>
  <w:footnote w:type="continuationSeparator" w:id="0">
    <w:p w:rsidR="00590628" w:rsidRDefault="00590628" w:rsidP="00E45D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D7A58"/>
    <w:multiLevelType w:val="hybridMultilevel"/>
    <w:tmpl w:val="C764E2B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797310DE"/>
    <w:multiLevelType w:val="hybridMultilevel"/>
    <w:tmpl w:val="112AD22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7A0C01AC"/>
    <w:multiLevelType w:val="multilevel"/>
    <w:tmpl w:val="A83A415A"/>
    <w:lvl w:ilvl="0">
      <w:start w:val="1"/>
      <w:numFmt w:val="decimal"/>
      <w:pStyle w:val="Naslov"/>
      <w:lvlText w:val="%1."/>
      <w:lvlJc w:val="left"/>
      <w:pPr>
        <w:ind w:left="360" w:hanging="360"/>
      </w:p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F60"/>
    <w:rsid w:val="000263A3"/>
    <w:rsid w:val="00092A46"/>
    <w:rsid w:val="00096B2D"/>
    <w:rsid w:val="000B098D"/>
    <w:rsid w:val="000D43DB"/>
    <w:rsid w:val="000E3D92"/>
    <w:rsid w:val="000E541D"/>
    <w:rsid w:val="00110DBE"/>
    <w:rsid w:val="001163E0"/>
    <w:rsid w:val="0015320F"/>
    <w:rsid w:val="00177678"/>
    <w:rsid w:val="00177738"/>
    <w:rsid w:val="00197DBC"/>
    <w:rsid w:val="001A1B3B"/>
    <w:rsid w:val="001A51AC"/>
    <w:rsid w:val="001E36F6"/>
    <w:rsid w:val="001F2E46"/>
    <w:rsid w:val="00204082"/>
    <w:rsid w:val="0022711B"/>
    <w:rsid w:val="00243F02"/>
    <w:rsid w:val="00245CC6"/>
    <w:rsid w:val="00250559"/>
    <w:rsid w:val="00253AB6"/>
    <w:rsid w:val="00254BA2"/>
    <w:rsid w:val="002665D7"/>
    <w:rsid w:val="002B1EF7"/>
    <w:rsid w:val="002C3FC7"/>
    <w:rsid w:val="002D38FE"/>
    <w:rsid w:val="0030392C"/>
    <w:rsid w:val="003225E6"/>
    <w:rsid w:val="0032347C"/>
    <w:rsid w:val="003237DC"/>
    <w:rsid w:val="00361CB1"/>
    <w:rsid w:val="00380EDE"/>
    <w:rsid w:val="003979BC"/>
    <w:rsid w:val="003F49F8"/>
    <w:rsid w:val="004032F3"/>
    <w:rsid w:val="004206F3"/>
    <w:rsid w:val="00430FB9"/>
    <w:rsid w:val="004430A7"/>
    <w:rsid w:val="00455B66"/>
    <w:rsid w:val="00460C22"/>
    <w:rsid w:val="004922FE"/>
    <w:rsid w:val="004A4993"/>
    <w:rsid w:val="004B7B16"/>
    <w:rsid w:val="005213DF"/>
    <w:rsid w:val="00521D30"/>
    <w:rsid w:val="00521F21"/>
    <w:rsid w:val="00544EF1"/>
    <w:rsid w:val="00590628"/>
    <w:rsid w:val="00590EFE"/>
    <w:rsid w:val="005C533A"/>
    <w:rsid w:val="005C66D5"/>
    <w:rsid w:val="005C7829"/>
    <w:rsid w:val="005F1F60"/>
    <w:rsid w:val="006162AF"/>
    <w:rsid w:val="00623272"/>
    <w:rsid w:val="00632888"/>
    <w:rsid w:val="006525E7"/>
    <w:rsid w:val="006D047E"/>
    <w:rsid w:val="006F7C49"/>
    <w:rsid w:val="0070602D"/>
    <w:rsid w:val="00711523"/>
    <w:rsid w:val="00717CE6"/>
    <w:rsid w:val="00741F7D"/>
    <w:rsid w:val="007477DE"/>
    <w:rsid w:val="00765855"/>
    <w:rsid w:val="00771CB9"/>
    <w:rsid w:val="0077281C"/>
    <w:rsid w:val="00782BB8"/>
    <w:rsid w:val="007A7362"/>
    <w:rsid w:val="007C2F4B"/>
    <w:rsid w:val="007E07D5"/>
    <w:rsid w:val="007E0DB2"/>
    <w:rsid w:val="007F71F8"/>
    <w:rsid w:val="0080377C"/>
    <w:rsid w:val="00804D8E"/>
    <w:rsid w:val="00844F3A"/>
    <w:rsid w:val="00860846"/>
    <w:rsid w:val="008B16D1"/>
    <w:rsid w:val="008C452D"/>
    <w:rsid w:val="008F1413"/>
    <w:rsid w:val="0090308A"/>
    <w:rsid w:val="0099711A"/>
    <w:rsid w:val="009D0540"/>
    <w:rsid w:val="00A21913"/>
    <w:rsid w:val="00A50C1B"/>
    <w:rsid w:val="00A701C3"/>
    <w:rsid w:val="00A815A6"/>
    <w:rsid w:val="00A92BFD"/>
    <w:rsid w:val="00AA062A"/>
    <w:rsid w:val="00AA2AC4"/>
    <w:rsid w:val="00AD22C9"/>
    <w:rsid w:val="00AF33FB"/>
    <w:rsid w:val="00B02B80"/>
    <w:rsid w:val="00B07C17"/>
    <w:rsid w:val="00B40947"/>
    <w:rsid w:val="00B42A6E"/>
    <w:rsid w:val="00B44887"/>
    <w:rsid w:val="00B47BE9"/>
    <w:rsid w:val="00B5175C"/>
    <w:rsid w:val="00B53B08"/>
    <w:rsid w:val="00B57A25"/>
    <w:rsid w:val="00B6740A"/>
    <w:rsid w:val="00BC5606"/>
    <w:rsid w:val="00BF651C"/>
    <w:rsid w:val="00CB76BD"/>
    <w:rsid w:val="00CE41DE"/>
    <w:rsid w:val="00CF1B17"/>
    <w:rsid w:val="00CF2F75"/>
    <w:rsid w:val="00CF6916"/>
    <w:rsid w:val="00D073BA"/>
    <w:rsid w:val="00D30FFA"/>
    <w:rsid w:val="00D93344"/>
    <w:rsid w:val="00DC0035"/>
    <w:rsid w:val="00DC7C0F"/>
    <w:rsid w:val="00DD49A2"/>
    <w:rsid w:val="00DD695E"/>
    <w:rsid w:val="00E0774C"/>
    <w:rsid w:val="00E27822"/>
    <w:rsid w:val="00E45D78"/>
    <w:rsid w:val="00E6243C"/>
    <w:rsid w:val="00E87B00"/>
    <w:rsid w:val="00EC1403"/>
    <w:rsid w:val="00F01F8F"/>
    <w:rsid w:val="00F025D7"/>
    <w:rsid w:val="00F05E24"/>
    <w:rsid w:val="00F13A89"/>
    <w:rsid w:val="00F2669A"/>
    <w:rsid w:val="00F70754"/>
    <w:rsid w:val="00FA57BE"/>
    <w:rsid w:val="00FB2CEA"/>
    <w:rsid w:val="00FC3EDD"/>
    <w:rsid w:val="00FD1546"/>
    <w:rsid w:val="00FD34A1"/>
    <w:rsid w:val="00FE22AA"/>
    <w:rsid w:val="00FF2D9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B0F954"/>
  <w15:chartTrackingRefBased/>
  <w15:docId w15:val="{C869091B-3640-4907-BED9-740BE6A82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1F60"/>
    <w:pPr>
      <w:spacing w:line="256" w:lineRule="auto"/>
    </w:pPr>
  </w:style>
  <w:style w:type="paragraph" w:styleId="Naslov1">
    <w:name w:val="heading 1"/>
    <w:basedOn w:val="Normal"/>
    <w:next w:val="Normal"/>
    <w:link w:val="Naslov1Char"/>
    <w:uiPriority w:val="9"/>
    <w:qFormat/>
    <w:rsid w:val="005F1F6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aliases w:val="Naslov PP2"/>
    <w:basedOn w:val="Normal"/>
    <w:next w:val="Normal"/>
    <w:link w:val="Naslov2Char"/>
    <w:uiPriority w:val="9"/>
    <w:unhideWhenUsed/>
    <w:qFormat/>
    <w:rsid w:val="005F1F60"/>
    <w:pPr>
      <w:keepNext/>
      <w:keepLines/>
      <w:spacing w:before="40" w:after="0"/>
      <w:outlineLvl w:val="1"/>
    </w:pPr>
    <w:rPr>
      <w:rFonts w:ascii="Arial Black" w:eastAsiaTheme="majorEastAsia" w:hAnsi="Arial Black" w:cstheme="majorBidi"/>
      <w:color w:val="FFFFFF" w:themeColor="background1"/>
      <w:sz w:val="24"/>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aliases w:val="Naslov PP2 Char"/>
    <w:basedOn w:val="Zadanifontodlomka"/>
    <w:link w:val="Naslov2"/>
    <w:uiPriority w:val="9"/>
    <w:rsid w:val="005F1F60"/>
    <w:rPr>
      <w:rFonts w:ascii="Arial Black" w:eastAsiaTheme="majorEastAsia" w:hAnsi="Arial Black" w:cstheme="majorBidi"/>
      <w:color w:val="FFFFFF" w:themeColor="background1"/>
      <w:sz w:val="24"/>
      <w:szCs w:val="26"/>
    </w:rPr>
  </w:style>
  <w:style w:type="character" w:styleId="Hiperveza">
    <w:name w:val="Hyperlink"/>
    <w:basedOn w:val="Zadanifontodlomka"/>
    <w:uiPriority w:val="99"/>
    <w:unhideWhenUsed/>
    <w:rsid w:val="005F1F60"/>
    <w:rPr>
      <w:color w:val="0563C1" w:themeColor="hyperlink"/>
      <w:u w:val="single"/>
    </w:rPr>
  </w:style>
  <w:style w:type="paragraph" w:styleId="Sadraj2">
    <w:name w:val="toc 2"/>
    <w:basedOn w:val="Normal"/>
    <w:next w:val="Normal"/>
    <w:autoRedefine/>
    <w:uiPriority w:val="39"/>
    <w:unhideWhenUsed/>
    <w:rsid w:val="005F1F60"/>
    <w:pPr>
      <w:spacing w:after="100" w:line="254" w:lineRule="auto"/>
      <w:ind w:left="220"/>
    </w:pPr>
  </w:style>
  <w:style w:type="paragraph" w:styleId="Odlomakpopisa">
    <w:name w:val="List Paragraph"/>
    <w:basedOn w:val="Normal"/>
    <w:uiPriority w:val="34"/>
    <w:qFormat/>
    <w:rsid w:val="005F1F60"/>
    <w:pPr>
      <w:ind w:left="720"/>
      <w:contextualSpacing/>
    </w:pPr>
  </w:style>
  <w:style w:type="character" w:customStyle="1" w:styleId="NaslovChar">
    <w:name w:val="Naslov Char"/>
    <w:aliases w:val="PP1 Char"/>
    <w:basedOn w:val="Zadanifontodlomka"/>
    <w:link w:val="Naslov"/>
    <w:uiPriority w:val="10"/>
    <w:locked/>
    <w:rsid w:val="005F1F60"/>
    <w:rPr>
      <w:rFonts w:ascii="Arial" w:eastAsia="Times New Roman" w:hAnsi="Arial" w:cs="Arial"/>
      <w:b/>
      <w:bCs/>
      <w:color w:val="F2F2F2" w:themeColor="background1" w:themeShade="F2"/>
      <w:sz w:val="24"/>
      <w:szCs w:val="24"/>
      <w:lang w:eastAsia="hr-HR"/>
    </w:rPr>
  </w:style>
  <w:style w:type="paragraph" w:styleId="Naslov">
    <w:name w:val="Title"/>
    <w:aliases w:val="PP1"/>
    <w:basedOn w:val="Odlomakpopisa"/>
    <w:next w:val="Normal"/>
    <w:link w:val="NaslovChar"/>
    <w:uiPriority w:val="10"/>
    <w:qFormat/>
    <w:rsid w:val="005F1F60"/>
    <w:pPr>
      <w:keepNext/>
      <w:numPr>
        <w:numId w:val="1"/>
      </w:numPr>
      <w:spacing w:after="0" w:line="276" w:lineRule="auto"/>
      <w:outlineLvl w:val="1"/>
    </w:pPr>
    <w:rPr>
      <w:rFonts w:ascii="Arial" w:eastAsia="Times New Roman" w:hAnsi="Arial" w:cs="Arial"/>
      <w:b/>
      <w:bCs/>
      <w:color w:val="F2F2F2" w:themeColor="background1" w:themeShade="F2"/>
      <w:sz w:val="24"/>
      <w:szCs w:val="24"/>
      <w:lang w:eastAsia="hr-HR"/>
    </w:rPr>
  </w:style>
  <w:style w:type="character" w:customStyle="1" w:styleId="NaslovChar1">
    <w:name w:val="Naslov Char1"/>
    <w:basedOn w:val="Zadanifontodlomka"/>
    <w:uiPriority w:val="10"/>
    <w:rsid w:val="005F1F60"/>
    <w:rPr>
      <w:rFonts w:asciiTheme="majorHAnsi" w:eastAsiaTheme="majorEastAsia" w:hAnsiTheme="majorHAnsi" w:cstheme="majorBidi"/>
      <w:spacing w:val="-10"/>
      <w:kern w:val="28"/>
      <w:sz w:val="56"/>
      <w:szCs w:val="56"/>
    </w:rPr>
  </w:style>
  <w:style w:type="character" w:customStyle="1" w:styleId="Naslov1Char">
    <w:name w:val="Naslov 1 Char"/>
    <w:basedOn w:val="Zadanifontodlomka"/>
    <w:link w:val="Naslov1"/>
    <w:uiPriority w:val="9"/>
    <w:rsid w:val="005F1F60"/>
    <w:rPr>
      <w:rFonts w:asciiTheme="majorHAnsi" w:eastAsiaTheme="majorEastAsia" w:hAnsiTheme="majorHAnsi" w:cstheme="majorBidi"/>
      <w:color w:val="2E74B5" w:themeColor="accent1" w:themeShade="BF"/>
      <w:sz w:val="32"/>
      <w:szCs w:val="32"/>
    </w:rPr>
  </w:style>
  <w:style w:type="paragraph" w:styleId="TOCNaslov">
    <w:name w:val="TOC Heading"/>
    <w:basedOn w:val="Naslov1"/>
    <w:next w:val="Normal"/>
    <w:uiPriority w:val="39"/>
    <w:semiHidden/>
    <w:unhideWhenUsed/>
    <w:qFormat/>
    <w:rsid w:val="005F1F60"/>
    <w:pPr>
      <w:spacing w:line="254" w:lineRule="auto"/>
      <w:outlineLvl w:val="9"/>
    </w:pPr>
    <w:rPr>
      <w:rFonts w:eastAsia="Times New Roman"/>
      <w:lang w:eastAsia="hr-HR"/>
    </w:rPr>
  </w:style>
  <w:style w:type="paragraph" w:customStyle="1" w:styleId="box465012">
    <w:name w:val="box_465012"/>
    <w:basedOn w:val="Normal"/>
    <w:rsid w:val="005F1F60"/>
    <w:pPr>
      <w:spacing w:before="100" w:beforeAutospacing="1" w:after="100" w:afterAutospacing="1" w:line="240" w:lineRule="auto"/>
    </w:pPr>
    <w:rPr>
      <w:rFonts w:ascii="Times New Roman" w:eastAsia="Times New Roman" w:hAnsi="Times New Roman" w:cs="Times New Roman"/>
      <w:sz w:val="24"/>
      <w:szCs w:val="24"/>
      <w:lang w:eastAsia="hr-HR"/>
    </w:rPr>
  </w:style>
  <w:style w:type="table" w:styleId="Reetkatablice">
    <w:name w:val="Table Grid"/>
    <w:basedOn w:val="Obinatablica"/>
    <w:uiPriority w:val="39"/>
    <w:rsid w:val="005F1F6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E45D7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45D78"/>
  </w:style>
  <w:style w:type="paragraph" w:styleId="Podnoje">
    <w:name w:val="footer"/>
    <w:basedOn w:val="Normal"/>
    <w:link w:val="PodnojeChar"/>
    <w:uiPriority w:val="99"/>
    <w:unhideWhenUsed/>
    <w:rsid w:val="00E45D7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45D78"/>
  </w:style>
  <w:style w:type="paragraph" w:styleId="Sadraj1">
    <w:name w:val="toc 1"/>
    <w:basedOn w:val="Normal"/>
    <w:next w:val="Normal"/>
    <w:autoRedefine/>
    <w:uiPriority w:val="39"/>
    <w:unhideWhenUsed/>
    <w:rsid w:val="00DD695E"/>
    <w:pPr>
      <w:spacing w:after="100"/>
    </w:pPr>
  </w:style>
  <w:style w:type="paragraph" w:styleId="Tekstbalonia">
    <w:name w:val="Balloon Text"/>
    <w:basedOn w:val="Normal"/>
    <w:link w:val="TekstbaloniaChar"/>
    <w:uiPriority w:val="99"/>
    <w:semiHidden/>
    <w:unhideWhenUsed/>
    <w:rsid w:val="00F05E24"/>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05E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519066">
      <w:bodyDiv w:val="1"/>
      <w:marLeft w:val="0"/>
      <w:marRight w:val="0"/>
      <w:marTop w:val="0"/>
      <w:marBottom w:val="0"/>
      <w:divBdr>
        <w:top w:val="none" w:sz="0" w:space="0" w:color="auto"/>
        <w:left w:val="none" w:sz="0" w:space="0" w:color="auto"/>
        <w:bottom w:val="none" w:sz="0" w:space="0" w:color="auto"/>
        <w:right w:val="none" w:sz="0" w:space="0" w:color="auto"/>
      </w:divBdr>
    </w:div>
    <w:div w:id="58288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85747-1FC2-4BC7-8BA5-68CD1B5E8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2959</Words>
  <Characters>16870</Characters>
  <Application>Microsoft Office Word</Application>
  <DocSecurity>0</DocSecurity>
  <Lines>140</Lines>
  <Paragraphs>39</Paragraphs>
  <ScaleCrop>false</ScaleCrop>
  <HeadingPairs>
    <vt:vector size="2" baseType="variant">
      <vt:variant>
        <vt:lpstr>Naslov</vt:lpstr>
      </vt:variant>
      <vt:variant>
        <vt:i4>1</vt:i4>
      </vt:variant>
    </vt:vector>
  </HeadingPairs>
  <TitlesOfParts>
    <vt:vector size="1" baseType="lpstr">
      <vt:lpstr/>
    </vt:vector>
  </TitlesOfParts>
  <Company>MUP RH</Company>
  <LinksUpToDate>false</LinksUpToDate>
  <CharactersWithSpaces>19790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Vukas Jozo</dc:creator>
  <cp:keywords/>
  <dc:description/>
  <cp:lastModifiedBy>Turić Branko</cp:lastModifiedBy>
  <cp:revision>2</cp:revision>
  <cp:lastPrinted>2024-03-20T06:24:00Z</cp:lastPrinted>
  <dcterms:created xsi:type="dcterms:W3CDTF">2024-03-20T13:50:00Z</dcterms:created>
  <dcterms:modified xsi:type="dcterms:W3CDTF">2024-03-20T13:50:00Z</dcterms:modified>
</cp:coreProperties>
</file>