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87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jc w:val="right"/>
        <w:rPr>
          <w:rFonts w:ascii="Arial" w:eastAsia="MS Mincho" w:hAnsi="Arial" w:cs="Arial"/>
          <w:b/>
          <w:noProof/>
          <w:sz w:val="24"/>
          <w:szCs w:val="24"/>
          <w:lang w:eastAsia="hr-HR"/>
        </w:rPr>
      </w:pPr>
    </w:p>
    <w:p w:rsidR="007E4187" w:rsidRPr="00051E9A" w:rsidRDefault="00051E9A" w:rsidP="00051E9A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0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3320488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0"/>
      <w:r>
        <w:rPr>
          <w:rFonts w:ascii="CarolinaBar-B39-25F2" w:hAnsi="CarolinaBar-B39-25F2"/>
          <w:sz w:val="32"/>
          <w:szCs w:val="32"/>
        </w:rPr>
        <w:t>*</w:t>
      </w:r>
    </w:p>
    <w:p w:rsidR="007E4187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jc w:val="right"/>
        <w:rPr>
          <w:rFonts w:ascii="Arial" w:eastAsia="MS Mincho" w:hAnsi="Arial" w:cs="Arial"/>
          <w:b/>
          <w:noProof/>
          <w:sz w:val="24"/>
          <w:szCs w:val="24"/>
          <w:lang w:eastAsia="hr-HR"/>
        </w:rPr>
      </w:pP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jc w:val="right"/>
        <w:rPr>
          <w:rFonts w:ascii="Arial" w:eastAsia="MS Mincho" w:hAnsi="Arial" w:cs="Arial"/>
          <w:b/>
          <w:noProof/>
          <w:sz w:val="24"/>
          <w:szCs w:val="24"/>
          <w:lang w:eastAsia="hr-HR"/>
        </w:rPr>
      </w:pPr>
      <w:r w:rsidRPr="00CB2252">
        <w:rPr>
          <w:rFonts w:ascii="Arial" w:eastAsia="MS Mincho" w:hAnsi="Arial" w:cs="Arial"/>
          <w:b/>
          <w:noProof/>
          <w:sz w:val="24"/>
          <w:szCs w:val="24"/>
          <w:lang w:eastAsia="hr-HR"/>
        </w:rPr>
        <w:t>OBJAVLJIVO</w:t>
      </w: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jc w:val="right"/>
        <w:rPr>
          <w:rFonts w:ascii="Arial" w:eastAsia="MS Mincho" w:hAnsi="Arial" w:cs="Arial"/>
          <w:b/>
          <w:noProof/>
          <w:sz w:val="24"/>
          <w:szCs w:val="24"/>
          <w:lang w:eastAsia="hr-HR"/>
        </w:rPr>
      </w:pPr>
    </w:p>
    <w:p w:rsidR="007E4187" w:rsidRPr="000E7446" w:rsidRDefault="007E4187" w:rsidP="007E4187">
      <w:pPr>
        <w:jc w:val="right"/>
        <w:rPr>
          <w:rFonts w:ascii="Arial" w:eastAsia="Calibri" w:hAnsi="Arial" w:cs="Arial"/>
          <w:lang w:val="it-IT"/>
        </w:rPr>
      </w:pPr>
      <w:r w:rsidRPr="000E7446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1" w:name="Tajnost1"/>
      <w:r w:rsidRPr="000E7446">
        <w:rPr>
          <w:rFonts w:ascii="Arial" w:eastAsia="Calibri" w:hAnsi="Arial" w:cs="Arial"/>
          <w:b/>
          <w:sz w:val="24"/>
          <w:szCs w:val="24"/>
        </w:rPr>
        <w:instrText xml:space="preserve"> FORMTEXT </w:instrText>
      </w:r>
      <w:r w:rsidR="00DD35FC">
        <w:rPr>
          <w:rFonts w:ascii="Arial" w:eastAsia="Calibri" w:hAnsi="Arial" w:cs="Arial"/>
          <w:b/>
          <w:sz w:val="24"/>
          <w:szCs w:val="24"/>
        </w:rPr>
      </w:r>
      <w:r w:rsidR="00DD35FC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0E7446">
        <w:rPr>
          <w:rFonts w:ascii="Arial" w:eastAsia="Calibri" w:hAnsi="Arial" w:cs="Arial"/>
          <w:b/>
          <w:sz w:val="24"/>
          <w:szCs w:val="24"/>
        </w:rPr>
        <w:fldChar w:fldCharType="end"/>
      </w:r>
      <w:bookmarkEnd w:id="1"/>
    </w:p>
    <w:p w:rsidR="007E4187" w:rsidRPr="00CB2252" w:rsidRDefault="007E4187" w:rsidP="007E41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 w:rsidRPr="00CB2252">
        <w:rPr>
          <w:rFonts w:ascii="Arial" w:eastAsia="MS Mincho" w:hAnsi="Arial" w:cs="Arial"/>
          <w:noProof/>
          <w:sz w:val="18"/>
          <w:szCs w:val="18"/>
          <w:lang w:eastAsia="hr-HR"/>
        </w:rPr>
        <w:drawing>
          <wp:inline distT="0" distB="0" distL="0" distR="0" wp14:anchorId="5EF7234B" wp14:editId="4A11EE74">
            <wp:extent cx="621030" cy="802005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87" w:rsidRPr="00CB2252" w:rsidRDefault="007E4187" w:rsidP="007E41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B2252">
        <w:rPr>
          <w:rFonts w:ascii="Arial" w:eastAsia="MS Mincho" w:hAnsi="Arial" w:cs="Arial"/>
          <w:b/>
          <w:sz w:val="32"/>
          <w:szCs w:val="32"/>
          <w:lang w:eastAsia="ja-JP"/>
        </w:rPr>
        <w:t>REPUBLIKA HRVATSKA</w:t>
      </w:r>
    </w:p>
    <w:p w:rsidR="007E4187" w:rsidRPr="00CB2252" w:rsidRDefault="007E4187" w:rsidP="007E4187">
      <w:pPr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  <w:lang w:eastAsia="ja-JP"/>
        </w:rPr>
      </w:pPr>
      <w:r w:rsidRPr="00CB2252">
        <w:rPr>
          <w:rFonts w:ascii="Arial" w:eastAsia="MS Mincho" w:hAnsi="Arial" w:cs="Arial"/>
          <w:b/>
          <w:sz w:val="32"/>
          <w:szCs w:val="32"/>
          <w:lang w:eastAsia="ja-JP"/>
        </w:rPr>
        <w:t>MINISTARSTVO UNUTARNJIH POSLOVA</w:t>
      </w:r>
    </w:p>
    <w:p w:rsidR="007E4187" w:rsidRPr="00CB2252" w:rsidRDefault="007E4187" w:rsidP="007E4187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  <w:lang w:eastAsia="ja-JP"/>
        </w:rPr>
      </w:pP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rPr>
          <w:rFonts w:ascii="Arial" w:eastAsia="MS Mincho" w:hAnsi="Arial" w:cs="Arial"/>
          <w:noProof/>
          <w:sz w:val="18"/>
          <w:szCs w:val="18"/>
          <w:lang w:eastAsia="hr-HR"/>
        </w:rPr>
      </w:pP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rPr>
          <w:rFonts w:ascii="Arial" w:eastAsia="MS Mincho" w:hAnsi="Arial" w:cs="Arial"/>
          <w:noProof/>
          <w:sz w:val="18"/>
          <w:szCs w:val="18"/>
          <w:lang w:eastAsia="hr-HR"/>
        </w:rPr>
      </w:pP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rPr>
          <w:rFonts w:ascii="Arial" w:eastAsia="MS Mincho" w:hAnsi="Arial" w:cs="Arial"/>
          <w:noProof/>
          <w:sz w:val="18"/>
          <w:szCs w:val="18"/>
          <w:lang w:eastAsia="hr-HR"/>
        </w:rPr>
      </w:pP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7E4187" w:rsidRPr="00CB2252" w:rsidTr="009E7539">
        <w:trPr>
          <w:trHeight w:val="1015"/>
        </w:trPr>
        <w:tc>
          <w:tcPr>
            <w:tcW w:w="5982" w:type="dxa"/>
            <w:vAlign w:val="center"/>
            <w:hideMark/>
          </w:tcPr>
          <w:p w:rsidR="007E4187" w:rsidRPr="00CB2252" w:rsidRDefault="007E4187" w:rsidP="009E7539">
            <w:pPr>
              <w:spacing w:after="0"/>
              <w:jc w:val="center"/>
              <w:rPr>
                <w:rFonts w:ascii="Arial" w:eastAsia="Calibri" w:hAnsi="Arial" w:cs="Arial"/>
                <w:b/>
                <w:noProof/>
                <w:lang w:eastAsia="hr-HR"/>
              </w:rPr>
            </w:pPr>
          </w:p>
        </w:tc>
      </w:tr>
      <w:tr w:rsidR="007E4187" w:rsidRPr="00CB2252" w:rsidTr="009E7539">
        <w:trPr>
          <w:trHeight w:val="261"/>
        </w:trPr>
        <w:tc>
          <w:tcPr>
            <w:tcW w:w="5982" w:type="dxa"/>
            <w:vAlign w:val="center"/>
          </w:tcPr>
          <w:p w:rsidR="007E4187" w:rsidRPr="00CB2252" w:rsidRDefault="007E4187" w:rsidP="009E7539">
            <w:pPr>
              <w:spacing w:after="0"/>
              <w:jc w:val="center"/>
              <w:rPr>
                <w:rFonts w:ascii="Arial" w:eastAsia="Calibri" w:hAnsi="Arial" w:cs="Arial"/>
                <w:noProof/>
                <w:sz w:val="24"/>
                <w:szCs w:val="24"/>
                <w:lang w:val="it-IT" w:eastAsia="it-IT"/>
              </w:rPr>
            </w:pPr>
          </w:p>
        </w:tc>
      </w:tr>
      <w:tr w:rsidR="007E4187" w:rsidRPr="00CB2252" w:rsidTr="009E7539">
        <w:trPr>
          <w:trHeight w:val="261"/>
        </w:trPr>
        <w:tc>
          <w:tcPr>
            <w:tcW w:w="5982" w:type="dxa"/>
            <w:vAlign w:val="center"/>
          </w:tcPr>
          <w:p w:rsidR="007E4187" w:rsidRPr="00CB2252" w:rsidRDefault="007E4187" w:rsidP="009E7539">
            <w:pPr>
              <w:keepNext/>
              <w:spacing w:after="0"/>
              <w:jc w:val="center"/>
              <w:outlineLvl w:val="5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E4187" w:rsidRPr="00CB2252" w:rsidTr="009E7539">
        <w:trPr>
          <w:trHeight w:val="261"/>
        </w:trPr>
        <w:tc>
          <w:tcPr>
            <w:tcW w:w="5982" w:type="dxa"/>
            <w:vAlign w:val="center"/>
          </w:tcPr>
          <w:p w:rsidR="007E4187" w:rsidRPr="00CB2252" w:rsidRDefault="007E4187" w:rsidP="009E7539">
            <w:pPr>
              <w:keepNext/>
              <w:spacing w:after="0"/>
              <w:outlineLvl w:val="5"/>
              <w:rPr>
                <w:rFonts w:ascii="Arial" w:eastAsia="Calibri" w:hAnsi="Arial" w:cs="Arial"/>
              </w:rPr>
            </w:pPr>
          </w:p>
        </w:tc>
      </w:tr>
    </w:tbl>
    <w:p w:rsidR="007E4187" w:rsidRPr="00CB2252" w:rsidRDefault="007E4187" w:rsidP="007E4187">
      <w:pPr>
        <w:jc w:val="right"/>
        <w:rPr>
          <w:rFonts w:ascii="Arial" w:eastAsia="Calibri" w:hAnsi="Arial" w:cs="Arial"/>
          <w:lang w:val="it-IT"/>
        </w:rPr>
      </w:pPr>
      <w:r w:rsidRPr="00CB2252">
        <w:rPr>
          <w:rFonts w:ascii="Arial" w:eastAsia="Calibri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r w:rsidRPr="00CB2252">
        <w:rPr>
          <w:rFonts w:ascii="Arial" w:eastAsia="Calibri" w:hAnsi="Arial" w:cs="Arial"/>
          <w:b/>
          <w:sz w:val="24"/>
          <w:szCs w:val="24"/>
        </w:rPr>
        <w:instrText xml:space="preserve"> FORMTEXT </w:instrText>
      </w:r>
      <w:r w:rsidR="00DD35FC">
        <w:rPr>
          <w:rFonts w:ascii="Arial" w:eastAsia="Calibri" w:hAnsi="Arial" w:cs="Arial"/>
          <w:b/>
          <w:sz w:val="24"/>
          <w:szCs w:val="24"/>
        </w:rPr>
      </w:r>
      <w:r w:rsidR="00DD35FC">
        <w:rPr>
          <w:rFonts w:ascii="Arial" w:eastAsia="Calibri" w:hAnsi="Arial" w:cs="Arial"/>
          <w:b/>
          <w:sz w:val="24"/>
          <w:szCs w:val="24"/>
        </w:rPr>
        <w:fldChar w:fldCharType="separate"/>
      </w:r>
      <w:r w:rsidRPr="00CB2252">
        <w:rPr>
          <w:rFonts w:ascii="Arial" w:eastAsia="Calibri" w:hAnsi="Arial" w:cs="Arial"/>
          <w:b/>
          <w:sz w:val="24"/>
          <w:szCs w:val="24"/>
        </w:rPr>
        <w:fldChar w:fldCharType="end"/>
      </w: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right="227"/>
        <w:rPr>
          <w:rFonts w:ascii="Arial" w:eastAsia="MS Mincho" w:hAnsi="Arial" w:cs="Arial"/>
          <w:noProof/>
          <w:sz w:val="18"/>
          <w:szCs w:val="18"/>
          <w:lang w:eastAsia="hr-HR"/>
        </w:rPr>
      </w:pPr>
    </w:p>
    <w:p w:rsidR="007E4187" w:rsidRPr="00CB2252" w:rsidRDefault="007E4187" w:rsidP="007E4187">
      <w:pPr>
        <w:tabs>
          <w:tab w:val="center" w:pos="4535"/>
          <w:tab w:val="right" w:pos="9070"/>
        </w:tabs>
        <w:spacing w:after="0" w:line="240" w:lineRule="auto"/>
        <w:ind w:left="1416" w:right="227"/>
        <w:jc w:val="center"/>
        <w:rPr>
          <w:rFonts w:ascii="Arial" w:eastAsia="Calibri" w:hAnsi="Arial" w:cs="Arial"/>
          <w:sz w:val="18"/>
          <w:szCs w:val="18"/>
        </w:rPr>
      </w:pPr>
      <w:r w:rsidRPr="00CB2252">
        <w:rPr>
          <w:rFonts w:ascii="Arial" w:eastAsia="Calibri" w:hAnsi="Arial" w:cs="Arial"/>
          <w:sz w:val="18"/>
          <w:szCs w:val="18"/>
        </w:rPr>
        <w:t xml:space="preserve">   </w:t>
      </w:r>
    </w:p>
    <w:tbl>
      <w:tblPr>
        <w:tblpPr w:leftFromText="180" w:rightFromText="180" w:bottomFromText="160" w:vertAnchor="text" w:tblpX="7186" w:tblpY="-869"/>
        <w:tblW w:w="0" w:type="auto"/>
        <w:tblLook w:val="04A0" w:firstRow="1" w:lastRow="0" w:firstColumn="1" w:lastColumn="0" w:noHBand="0" w:noVBand="1"/>
      </w:tblPr>
      <w:tblGrid>
        <w:gridCol w:w="1380"/>
      </w:tblGrid>
      <w:tr w:rsidR="007E4187" w:rsidRPr="00CB2252" w:rsidTr="009E7539">
        <w:trPr>
          <w:trHeight w:val="225"/>
        </w:trPr>
        <w:tc>
          <w:tcPr>
            <w:tcW w:w="1380" w:type="dxa"/>
            <w:hideMark/>
          </w:tcPr>
          <w:p w:rsidR="007E4187" w:rsidRPr="00CB2252" w:rsidRDefault="007E4187" w:rsidP="009E7539">
            <w:pPr>
              <w:tabs>
                <w:tab w:val="center" w:pos="4535"/>
                <w:tab w:val="right" w:pos="9070"/>
              </w:tabs>
              <w:spacing w:after="0" w:line="240" w:lineRule="auto"/>
              <w:rPr>
                <w:rFonts w:ascii="Arial" w:eastAsia="MS Mincho" w:hAnsi="Arial" w:cs="Arial"/>
                <w:b/>
                <w:noProof/>
                <w:sz w:val="24"/>
                <w:szCs w:val="24"/>
                <w:lang w:eastAsia="hr-HR"/>
              </w:rPr>
            </w:pPr>
          </w:p>
        </w:tc>
      </w:tr>
    </w:tbl>
    <w:p w:rsidR="007E4187" w:rsidRPr="00CB2252" w:rsidRDefault="007E4187" w:rsidP="007E4187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  <w:lang w:eastAsia="ja-JP"/>
        </w:rPr>
      </w:pPr>
    </w:p>
    <w:p w:rsidR="007E4187" w:rsidRPr="00CB2252" w:rsidRDefault="007E4187" w:rsidP="007E4187">
      <w:pPr>
        <w:tabs>
          <w:tab w:val="left" w:pos="8300"/>
        </w:tabs>
        <w:spacing w:after="0" w:line="240" w:lineRule="auto"/>
        <w:rPr>
          <w:rFonts w:ascii="Arial" w:eastAsia="MS Mincho" w:hAnsi="Arial" w:cs="Arial"/>
          <w:sz w:val="32"/>
          <w:szCs w:val="32"/>
          <w:lang w:eastAsia="ja-JP"/>
        </w:rPr>
      </w:pPr>
      <w:r w:rsidRPr="00CB2252">
        <w:rPr>
          <w:rFonts w:ascii="Arial" w:eastAsia="MS Mincho" w:hAnsi="Arial" w:cs="Arial"/>
          <w:sz w:val="32"/>
          <w:szCs w:val="32"/>
          <w:lang w:eastAsia="ja-JP"/>
        </w:rPr>
        <w:tab/>
      </w:r>
    </w:p>
    <w:p w:rsidR="007E4187" w:rsidRPr="00CB2252" w:rsidRDefault="007E4187" w:rsidP="007E4187">
      <w:pPr>
        <w:spacing w:after="0" w:line="240" w:lineRule="auto"/>
        <w:jc w:val="center"/>
        <w:rPr>
          <w:rFonts w:ascii="Arial" w:eastAsia="MS Mincho" w:hAnsi="Arial" w:cs="Arial"/>
          <w:sz w:val="32"/>
          <w:szCs w:val="32"/>
          <w:lang w:eastAsia="ja-JP"/>
        </w:rPr>
      </w:pPr>
    </w:p>
    <w:p w:rsidR="007E4187" w:rsidRPr="00CB2252" w:rsidRDefault="007E4187" w:rsidP="007E4187">
      <w:pPr>
        <w:spacing w:after="0" w:line="240" w:lineRule="auto"/>
        <w:jc w:val="center"/>
        <w:rPr>
          <w:rFonts w:ascii="Arial" w:eastAsia="MS Mincho" w:hAnsi="Arial" w:cs="Arial"/>
          <w:b/>
          <w:sz w:val="48"/>
          <w:szCs w:val="48"/>
          <w:lang w:eastAsia="ja-JP"/>
        </w:rPr>
      </w:pPr>
      <w:r w:rsidRPr="00CB2252">
        <w:rPr>
          <w:rFonts w:ascii="Arial" w:eastAsia="MS Mincho" w:hAnsi="Arial" w:cs="Arial"/>
          <w:b/>
          <w:sz w:val="48"/>
          <w:szCs w:val="48"/>
          <w:lang w:eastAsia="ja-JP"/>
        </w:rPr>
        <w:t>GODIŠNJI PLAN RADA</w:t>
      </w:r>
    </w:p>
    <w:p w:rsidR="007E4187" w:rsidRPr="00CB2252" w:rsidRDefault="007E4187" w:rsidP="007E4187">
      <w:pPr>
        <w:spacing w:after="0" w:line="240" w:lineRule="auto"/>
        <w:jc w:val="center"/>
        <w:rPr>
          <w:rFonts w:ascii="Arial" w:eastAsia="MS Mincho" w:hAnsi="Arial" w:cs="Arial"/>
          <w:b/>
          <w:sz w:val="48"/>
          <w:szCs w:val="48"/>
          <w:lang w:eastAsia="ja-JP"/>
        </w:rPr>
      </w:pPr>
      <w:r w:rsidRPr="00CB2252">
        <w:rPr>
          <w:rFonts w:ascii="Arial" w:eastAsia="MS Mincho" w:hAnsi="Arial" w:cs="Arial"/>
          <w:b/>
          <w:sz w:val="48"/>
          <w:szCs w:val="48"/>
          <w:lang w:eastAsia="ja-JP"/>
        </w:rPr>
        <w:t>ZA 202</w:t>
      </w:r>
      <w:r w:rsidR="00F254EC">
        <w:rPr>
          <w:rFonts w:ascii="Arial" w:eastAsia="MS Mincho" w:hAnsi="Arial" w:cs="Arial"/>
          <w:b/>
          <w:sz w:val="48"/>
          <w:szCs w:val="48"/>
          <w:lang w:eastAsia="ja-JP"/>
        </w:rPr>
        <w:t>2</w:t>
      </w:r>
      <w:r w:rsidRPr="00CB2252">
        <w:rPr>
          <w:rFonts w:ascii="Arial" w:eastAsia="MS Mincho" w:hAnsi="Arial" w:cs="Arial"/>
          <w:b/>
          <w:sz w:val="48"/>
          <w:szCs w:val="48"/>
          <w:lang w:eastAsia="ja-JP"/>
        </w:rPr>
        <w:t>. GODINU</w:t>
      </w:r>
    </w:p>
    <w:p w:rsidR="007E4187" w:rsidRDefault="007E4187" w:rsidP="007E4187"/>
    <w:p w:rsidR="007E4187" w:rsidRDefault="007E4187" w:rsidP="007E4187"/>
    <w:p w:rsidR="007E4187" w:rsidRDefault="007E4187" w:rsidP="007E4187"/>
    <w:p w:rsidR="007E4187" w:rsidRDefault="007E4187" w:rsidP="007E4187"/>
    <w:p w:rsidR="007E4187" w:rsidRDefault="007E4187" w:rsidP="007E4187"/>
    <w:p w:rsidR="00325132" w:rsidRDefault="00325132" w:rsidP="007E4187"/>
    <w:p w:rsidR="00325132" w:rsidRDefault="00325132" w:rsidP="007E4187"/>
    <w:p w:rsidR="007E4187" w:rsidRDefault="007E4187" w:rsidP="007E4187"/>
    <w:p w:rsidR="007E4187" w:rsidRDefault="007E4187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325132" w:rsidRDefault="00325132" w:rsidP="007E4187"/>
    <w:p w:rsidR="002B60F4" w:rsidRDefault="002B60F4" w:rsidP="007E4187"/>
    <w:p w:rsidR="002B60F4" w:rsidRDefault="002B60F4" w:rsidP="007E4187"/>
    <w:p w:rsidR="00C03A79" w:rsidRDefault="00C03A79" w:rsidP="007E418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1138639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D1D3C" w:rsidRPr="007C5586" w:rsidRDefault="00DD1D3C">
          <w:pPr>
            <w:pStyle w:val="TOCNaslov"/>
            <w:rPr>
              <w:rFonts w:ascii="Arial" w:hAnsi="Arial" w:cs="Arial"/>
              <w:color w:val="auto"/>
              <w:sz w:val="22"/>
              <w:szCs w:val="22"/>
            </w:rPr>
          </w:pPr>
          <w:r w:rsidRPr="007C5586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7C5586" w:rsidRPr="007C5586">
            <w:rPr>
              <w:rFonts w:ascii="Arial" w:hAnsi="Arial" w:cs="Arial"/>
              <w:color w:val="auto"/>
              <w:sz w:val="22"/>
              <w:szCs w:val="22"/>
            </w:rPr>
            <w:t>ADRŽAJ</w:t>
          </w:r>
        </w:p>
        <w:p w:rsidR="00DD1D3C" w:rsidRPr="007C5586" w:rsidRDefault="00DD1D3C" w:rsidP="00DD1D3C">
          <w:pPr>
            <w:rPr>
              <w:rFonts w:ascii="Arial" w:hAnsi="Arial" w:cs="Arial"/>
              <w:lang w:eastAsia="hr-HR"/>
            </w:rPr>
          </w:pPr>
        </w:p>
        <w:p w:rsidR="000E2864" w:rsidRPr="000E2864" w:rsidRDefault="00DD1D3C">
          <w:pPr>
            <w:pStyle w:val="Sadraj2"/>
            <w:tabs>
              <w:tab w:val="left" w:pos="660"/>
              <w:tab w:val="right" w:leader="dot" w:pos="9060"/>
            </w:tabs>
            <w:rPr>
              <w:rFonts w:ascii="Arial" w:eastAsiaTheme="minorEastAsia" w:hAnsi="Arial" w:cs="Arial"/>
              <w:noProof/>
              <w:lang w:eastAsia="hr-HR"/>
            </w:rPr>
          </w:pPr>
          <w:r w:rsidRPr="007C5586">
            <w:rPr>
              <w:rFonts w:ascii="Arial" w:hAnsi="Arial" w:cs="Arial"/>
            </w:rPr>
            <w:fldChar w:fldCharType="begin"/>
          </w:r>
          <w:r w:rsidRPr="007C5586">
            <w:rPr>
              <w:rFonts w:ascii="Arial" w:hAnsi="Arial" w:cs="Arial"/>
            </w:rPr>
            <w:instrText xml:space="preserve"> TOC \o "1-3" \h \z \u </w:instrText>
          </w:r>
          <w:r w:rsidRPr="007C5586">
            <w:rPr>
              <w:rFonts w:ascii="Arial" w:hAnsi="Arial" w:cs="Arial"/>
            </w:rPr>
            <w:fldChar w:fldCharType="separate"/>
          </w:r>
          <w:hyperlink w:anchor="_Toc96417907" w:history="1">
            <w:r w:rsidR="000E2864" w:rsidRPr="000E2864">
              <w:rPr>
                <w:rStyle w:val="Hiperveza"/>
                <w:rFonts w:ascii="Arial" w:hAnsi="Arial" w:cs="Arial"/>
                <w:noProof/>
              </w:rPr>
              <w:t>1.</w:t>
            </w:r>
            <w:r w:rsidR="000E2864" w:rsidRPr="000E2864">
              <w:rPr>
                <w:rFonts w:ascii="Arial" w:eastAsiaTheme="minorEastAsia" w:hAnsi="Arial" w:cs="Arial"/>
                <w:noProof/>
                <w:lang w:eastAsia="hr-HR"/>
              </w:rPr>
              <w:tab/>
            </w:r>
            <w:r w:rsidR="000E2864" w:rsidRPr="000E2864">
              <w:rPr>
                <w:rStyle w:val="Hiperveza"/>
                <w:rFonts w:ascii="Arial" w:hAnsi="Arial" w:cs="Arial"/>
                <w:noProof/>
              </w:rPr>
              <w:t>PREDGOVOR</w:t>
            </w:r>
            <w:r w:rsidR="000E2864" w:rsidRPr="000E2864">
              <w:rPr>
                <w:rFonts w:ascii="Arial" w:hAnsi="Arial" w:cs="Arial"/>
                <w:noProof/>
                <w:webHidden/>
              </w:rPr>
              <w:tab/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begin"/>
            </w:r>
            <w:r w:rsidR="000E2864" w:rsidRPr="000E2864">
              <w:rPr>
                <w:rFonts w:ascii="Arial" w:hAnsi="Arial" w:cs="Arial"/>
                <w:noProof/>
                <w:webHidden/>
              </w:rPr>
              <w:instrText xml:space="preserve"> PAGEREF _Toc96417907 \h </w:instrText>
            </w:r>
            <w:r w:rsidR="000E2864" w:rsidRPr="000E2864">
              <w:rPr>
                <w:rFonts w:ascii="Arial" w:hAnsi="Arial" w:cs="Arial"/>
                <w:noProof/>
                <w:webHidden/>
              </w:rPr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03A79">
              <w:rPr>
                <w:rFonts w:ascii="Arial" w:hAnsi="Arial" w:cs="Arial"/>
                <w:noProof/>
                <w:webHidden/>
              </w:rPr>
              <w:t>1</w:t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E2864" w:rsidRPr="000E2864" w:rsidRDefault="00DD35FC">
          <w:pPr>
            <w:pStyle w:val="Sadraj2"/>
            <w:tabs>
              <w:tab w:val="left" w:pos="660"/>
              <w:tab w:val="right" w:leader="dot" w:pos="9060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96417908" w:history="1">
            <w:r w:rsidR="000E2864" w:rsidRPr="000E2864">
              <w:rPr>
                <w:rStyle w:val="Hiperveza"/>
                <w:rFonts w:ascii="Arial" w:eastAsia="Times New Roman" w:hAnsi="Arial" w:cs="Arial"/>
                <w:bCs/>
                <w:noProof/>
                <w:lang w:eastAsia="hr-HR"/>
              </w:rPr>
              <w:t>2.</w:t>
            </w:r>
            <w:r w:rsidR="000E2864" w:rsidRPr="000E2864">
              <w:rPr>
                <w:rFonts w:ascii="Arial" w:eastAsiaTheme="minorEastAsia" w:hAnsi="Arial" w:cs="Arial"/>
                <w:noProof/>
                <w:lang w:eastAsia="hr-HR"/>
              </w:rPr>
              <w:tab/>
            </w:r>
            <w:r w:rsidR="000E2864" w:rsidRPr="000E2864">
              <w:rPr>
                <w:rStyle w:val="Hiperveza"/>
                <w:rFonts w:ascii="Arial" w:eastAsia="Times New Roman" w:hAnsi="Arial" w:cs="Arial"/>
                <w:bCs/>
                <w:noProof/>
                <w:lang w:eastAsia="hr-HR"/>
              </w:rPr>
              <w:t>UVOD</w:t>
            </w:r>
            <w:r w:rsidR="000E2864" w:rsidRPr="000E2864">
              <w:rPr>
                <w:rFonts w:ascii="Arial" w:hAnsi="Arial" w:cs="Arial"/>
                <w:noProof/>
                <w:webHidden/>
              </w:rPr>
              <w:tab/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begin"/>
            </w:r>
            <w:r w:rsidR="000E2864" w:rsidRPr="000E2864">
              <w:rPr>
                <w:rFonts w:ascii="Arial" w:hAnsi="Arial" w:cs="Arial"/>
                <w:noProof/>
                <w:webHidden/>
              </w:rPr>
              <w:instrText xml:space="preserve"> PAGEREF _Toc96417908 \h </w:instrText>
            </w:r>
            <w:r w:rsidR="000E2864" w:rsidRPr="000E2864">
              <w:rPr>
                <w:rFonts w:ascii="Arial" w:hAnsi="Arial" w:cs="Arial"/>
                <w:noProof/>
                <w:webHidden/>
              </w:rPr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03A79">
              <w:rPr>
                <w:rFonts w:ascii="Arial" w:hAnsi="Arial" w:cs="Arial"/>
                <w:noProof/>
                <w:webHidden/>
              </w:rPr>
              <w:t>3</w:t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E2864" w:rsidRPr="000E2864" w:rsidRDefault="00DD35FC">
          <w:pPr>
            <w:pStyle w:val="Sadraj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96417909" w:history="1">
            <w:r w:rsidR="000E2864" w:rsidRPr="000E2864">
              <w:rPr>
                <w:rStyle w:val="Hiperveza"/>
                <w:rFonts w:ascii="Arial" w:eastAsia="Times New Roman" w:hAnsi="Arial" w:cs="Arial"/>
                <w:noProof/>
                <w:lang w:eastAsia="hr-HR"/>
              </w:rPr>
              <w:t>2.1. Djelokrug</w:t>
            </w:r>
            <w:r w:rsidR="000E2864" w:rsidRPr="000E2864">
              <w:rPr>
                <w:rFonts w:ascii="Arial" w:hAnsi="Arial" w:cs="Arial"/>
                <w:noProof/>
                <w:webHidden/>
              </w:rPr>
              <w:tab/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begin"/>
            </w:r>
            <w:r w:rsidR="000E2864" w:rsidRPr="000E2864">
              <w:rPr>
                <w:rFonts w:ascii="Arial" w:hAnsi="Arial" w:cs="Arial"/>
                <w:noProof/>
                <w:webHidden/>
              </w:rPr>
              <w:instrText xml:space="preserve"> PAGEREF _Toc96417909 \h </w:instrText>
            </w:r>
            <w:r w:rsidR="000E2864" w:rsidRPr="000E2864">
              <w:rPr>
                <w:rFonts w:ascii="Arial" w:hAnsi="Arial" w:cs="Arial"/>
                <w:noProof/>
                <w:webHidden/>
              </w:rPr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03A79">
              <w:rPr>
                <w:rFonts w:ascii="Arial" w:hAnsi="Arial" w:cs="Arial"/>
                <w:noProof/>
                <w:webHidden/>
              </w:rPr>
              <w:t>3</w:t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E2864" w:rsidRPr="000E2864" w:rsidRDefault="00DD35FC">
          <w:pPr>
            <w:pStyle w:val="Sadraj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96417910" w:history="1">
            <w:r w:rsidR="000E2864" w:rsidRPr="000E2864">
              <w:rPr>
                <w:rStyle w:val="Hiperveza"/>
                <w:rFonts w:ascii="Arial" w:eastAsia="Times New Roman" w:hAnsi="Arial" w:cs="Arial"/>
                <w:noProof/>
                <w:lang w:eastAsia="hr-HR"/>
              </w:rPr>
              <w:t>2.2. Vizija</w:t>
            </w:r>
            <w:r w:rsidR="000E2864" w:rsidRPr="000E2864">
              <w:rPr>
                <w:rFonts w:ascii="Arial" w:hAnsi="Arial" w:cs="Arial"/>
                <w:noProof/>
                <w:webHidden/>
              </w:rPr>
              <w:tab/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begin"/>
            </w:r>
            <w:r w:rsidR="000E2864" w:rsidRPr="000E2864">
              <w:rPr>
                <w:rFonts w:ascii="Arial" w:hAnsi="Arial" w:cs="Arial"/>
                <w:noProof/>
                <w:webHidden/>
              </w:rPr>
              <w:instrText xml:space="preserve"> PAGEREF _Toc96417910 \h </w:instrText>
            </w:r>
            <w:r w:rsidR="000E2864" w:rsidRPr="000E2864">
              <w:rPr>
                <w:rFonts w:ascii="Arial" w:hAnsi="Arial" w:cs="Arial"/>
                <w:noProof/>
                <w:webHidden/>
              </w:rPr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03A79">
              <w:rPr>
                <w:rFonts w:ascii="Arial" w:hAnsi="Arial" w:cs="Arial"/>
                <w:noProof/>
                <w:webHidden/>
              </w:rPr>
              <w:t>7</w:t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E2864" w:rsidRPr="000E2864" w:rsidRDefault="00DD35FC">
          <w:pPr>
            <w:pStyle w:val="Sadraj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lang w:eastAsia="hr-HR"/>
            </w:rPr>
          </w:pPr>
          <w:hyperlink w:anchor="_Toc96417911" w:history="1">
            <w:r w:rsidR="000E2864" w:rsidRPr="000E2864">
              <w:rPr>
                <w:rStyle w:val="Hiperveza"/>
                <w:rFonts w:ascii="Arial" w:eastAsia="Times New Roman" w:hAnsi="Arial" w:cs="Arial"/>
                <w:noProof/>
                <w:lang w:eastAsia="hr-HR"/>
              </w:rPr>
              <w:t>2.3. Misija</w:t>
            </w:r>
            <w:r w:rsidR="000E2864" w:rsidRPr="000E2864">
              <w:rPr>
                <w:rFonts w:ascii="Arial" w:hAnsi="Arial" w:cs="Arial"/>
                <w:noProof/>
                <w:webHidden/>
              </w:rPr>
              <w:tab/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begin"/>
            </w:r>
            <w:r w:rsidR="000E2864" w:rsidRPr="000E2864">
              <w:rPr>
                <w:rFonts w:ascii="Arial" w:hAnsi="Arial" w:cs="Arial"/>
                <w:noProof/>
                <w:webHidden/>
              </w:rPr>
              <w:instrText xml:space="preserve"> PAGEREF _Toc96417911 \h </w:instrText>
            </w:r>
            <w:r w:rsidR="000E2864" w:rsidRPr="000E2864">
              <w:rPr>
                <w:rFonts w:ascii="Arial" w:hAnsi="Arial" w:cs="Arial"/>
                <w:noProof/>
                <w:webHidden/>
              </w:rPr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03A79">
              <w:rPr>
                <w:rFonts w:ascii="Arial" w:hAnsi="Arial" w:cs="Arial"/>
                <w:noProof/>
                <w:webHidden/>
              </w:rPr>
              <w:t>7</w:t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0E2864" w:rsidRDefault="00DD35FC">
          <w:pPr>
            <w:pStyle w:val="Sadraj2"/>
            <w:tabs>
              <w:tab w:val="right" w:leader="dot" w:pos="9060"/>
            </w:tabs>
            <w:rPr>
              <w:rFonts w:eastAsiaTheme="minorEastAsia"/>
              <w:noProof/>
              <w:lang w:eastAsia="hr-HR"/>
            </w:rPr>
          </w:pPr>
          <w:hyperlink w:anchor="_Toc96417912" w:history="1">
            <w:r w:rsidR="000E2864" w:rsidRPr="000E2864">
              <w:rPr>
                <w:rStyle w:val="Hiperveza"/>
                <w:rFonts w:ascii="Arial" w:hAnsi="Arial" w:cs="Arial"/>
                <w:noProof/>
                <w:u w:val="none"/>
              </w:rPr>
              <w:t>3. ORGANIZACIJSKA STRUKTURA</w:t>
            </w:r>
            <w:r w:rsidR="000E2864" w:rsidRPr="000E2864">
              <w:rPr>
                <w:rFonts w:ascii="Arial" w:hAnsi="Arial" w:cs="Arial"/>
                <w:noProof/>
                <w:webHidden/>
              </w:rPr>
              <w:tab/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begin"/>
            </w:r>
            <w:r w:rsidR="000E2864" w:rsidRPr="000E2864">
              <w:rPr>
                <w:rFonts w:ascii="Arial" w:hAnsi="Arial" w:cs="Arial"/>
                <w:noProof/>
                <w:webHidden/>
              </w:rPr>
              <w:instrText xml:space="preserve"> PAGEREF _Toc96417912 \h </w:instrText>
            </w:r>
            <w:r w:rsidR="000E2864" w:rsidRPr="000E2864">
              <w:rPr>
                <w:rFonts w:ascii="Arial" w:hAnsi="Arial" w:cs="Arial"/>
                <w:noProof/>
                <w:webHidden/>
              </w:rPr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C03A79">
              <w:rPr>
                <w:rFonts w:ascii="Arial" w:hAnsi="Arial" w:cs="Arial"/>
                <w:noProof/>
                <w:webHidden/>
              </w:rPr>
              <w:t>8</w:t>
            </w:r>
            <w:r w:rsidR="000E2864" w:rsidRPr="000E286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D1D3C" w:rsidRDefault="00DD1D3C">
          <w:r w:rsidRPr="007C5586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2B60F4" w:rsidRDefault="002B60F4" w:rsidP="007E4187"/>
    <w:p w:rsidR="002B60F4" w:rsidRDefault="002B60F4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2B60F4" w:rsidRDefault="002B60F4" w:rsidP="007E4187"/>
    <w:p w:rsidR="002B60F4" w:rsidRDefault="002B60F4" w:rsidP="007E4187"/>
    <w:p w:rsidR="002B60F4" w:rsidRDefault="002B60F4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DD1D3C" w:rsidRDefault="00DD1D3C" w:rsidP="007E4187"/>
    <w:p w:rsidR="000B07BF" w:rsidRDefault="000B07BF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</w:pPr>
    </w:p>
    <w:p w:rsidR="00F913CE" w:rsidRDefault="00F913CE" w:rsidP="00E50255">
      <w:pPr>
        <w:spacing w:line="276" w:lineRule="auto"/>
        <w:sectPr w:rsidR="00F913CE" w:rsidSect="00AE38E1">
          <w:footerReference w:type="default" r:id="rId9"/>
          <w:footerReference w:type="first" r:id="rId10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DD1D3C" w:rsidRDefault="00DD1D3C" w:rsidP="00E50255">
      <w:pPr>
        <w:spacing w:line="276" w:lineRule="auto"/>
        <w:rPr>
          <w:rFonts w:ascii="Arial" w:hAnsi="Arial" w:cs="Arial"/>
        </w:rPr>
      </w:pPr>
    </w:p>
    <w:tbl>
      <w:tblPr>
        <w:tblpPr w:leftFromText="180" w:rightFromText="180" w:bottomFromText="160" w:vertAnchor="text" w:horzAnchor="margin" w:tblpY="-264"/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9070"/>
      </w:tblGrid>
      <w:tr w:rsidR="00E50255" w:rsidTr="00E50255">
        <w:trPr>
          <w:trHeight w:val="406"/>
        </w:trPr>
        <w:tc>
          <w:tcPr>
            <w:tcW w:w="9072" w:type="dxa"/>
            <w:shd w:val="clear" w:color="auto" w:fill="365F91"/>
            <w:vAlign w:val="center"/>
            <w:hideMark/>
          </w:tcPr>
          <w:p w:rsidR="00E50255" w:rsidRDefault="00E50255" w:rsidP="00301AED">
            <w:pPr>
              <w:pStyle w:val="Naslov"/>
              <w:numPr>
                <w:ilvl w:val="0"/>
                <w:numId w:val="4"/>
              </w:numPr>
              <w:rPr>
                <w:lang w:eastAsia="en-US"/>
              </w:rPr>
            </w:pPr>
            <w:bookmarkStart w:id="2" w:name="_Toc61608698"/>
            <w:bookmarkStart w:id="3" w:name="_Toc65242386"/>
            <w:bookmarkStart w:id="4" w:name="_Toc96417907"/>
            <w:r w:rsidRPr="00146E18">
              <w:rPr>
                <w:color w:val="FFFFFF" w:themeColor="background1"/>
                <w:lang w:eastAsia="en-US"/>
              </w:rPr>
              <w:t>PREDGOVOR</w:t>
            </w:r>
            <w:bookmarkEnd w:id="2"/>
            <w:bookmarkEnd w:id="3"/>
            <w:bookmarkEnd w:id="4"/>
          </w:p>
        </w:tc>
      </w:tr>
    </w:tbl>
    <w:p w:rsidR="00DD1D3C" w:rsidRDefault="00DD1D3C" w:rsidP="00E50255">
      <w:pPr>
        <w:jc w:val="both"/>
        <w:rPr>
          <w:rFonts w:ascii="Arial" w:hAnsi="Arial" w:cs="Arial"/>
          <w:sz w:val="24"/>
          <w:szCs w:val="24"/>
        </w:rPr>
      </w:pPr>
    </w:p>
    <w:p w:rsidR="00E50255" w:rsidRPr="00D92DED" w:rsidRDefault="00E50255" w:rsidP="004F18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margin">
              <wp:posOffset>3111500</wp:posOffset>
            </wp:positionH>
            <wp:positionV relativeFrom="margin">
              <wp:posOffset>1471295</wp:posOffset>
            </wp:positionV>
            <wp:extent cx="2838450" cy="2028825"/>
            <wp:effectExtent l="0" t="0" r="0" b="9525"/>
            <wp:wrapSquare wrapText="left"/>
            <wp:docPr id="2" name="Slika 2" descr="slika minis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lika ministr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2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E18" w:rsidRPr="00146E18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t>Nakon što je u 2021. godini, Ministarstvo unutarnjih poslova svojim radom osiguralo bitna postignuća Republici Hrvatskoj, kao što su ulazak naše zemlje u američki Program izuzeća od viza i pozitivna ocjena o potpunoj spremnosti Republike Hrvatske za ulazak u Schengen, bez stanke i jednakim intenzitetom M</w:t>
      </w:r>
      <w:r w:rsidR="004F18D5">
        <w:rPr>
          <w:rFonts w:ascii="Arial" w:hAnsi="Arial" w:cs="Arial"/>
        </w:rPr>
        <w:t>inistarstvo unutarnjih poslova n</w:t>
      </w:r>
      <w:r w:rsidRPr="00146E18">
        <w:rPr>
          <w:rFonts w:ascii="Arial" w:hAnsi="Arial" w:cs="Arial"/>
        </w:rPr>
        <w:t>astavlja i dalje.</w:t>
      </w:r>
    </w:p>
    <w:p w:rsidR="00146E18" w:rsidRPr="00146E18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t xml:space="preserve">Izazovi današnjice sve su kompleksniji, modificiraju se i umnožavaju dosad nezapamćenom brzinom, što pred sustav unutarnjih poslova kontinuirano stavlja čitav niz novih zadaća, koje premašuju uvriježene okvire policijskog djelovanja. </w:t>
      </w:r>
    </w:p>
    <w:p w:rsidR="00146E18" w:rsidRPr="00146E18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t>Prilagodljivost se nameće u glavni uvjet pariranja aktualnostima, jer isključivo prilagodlj</w:t>
      </w:r>
      <w:r w:rsidR="004F18D5">
        <w:rPr>
          <w:rFonts w:ascii="Arial" w:hAnsi="Arial" w:cs="Arial"/>
        </w:rPr>
        <w:t>iv sustav ima šansu nositi se s</w:t>
      </w:r>
      <w:r w:rsidRPr="00146E18">
        <w:rPr>
          <w:rFonts w:ascii="Arial" w:hAnsi="Arial" w:cs="Arial"/>
        </w:rPr>
        <w:t xml:space="preserve"> mijenjajućim novim sigurnosnim zahtjevima. Stoga</w:t>
      </w:r>
      <w:r w:rsidR="004F18D5">
        <w:rPr>
          <w:rFonts w:ascii="Arial" w:hAnsi="Arial" w:cs="Arial"/>
        </w:rPr>
        <w:t>,</w:t>
      </w:r>
      <w:r w:rsidRPr="00146E18">
        <w:rPr>
          <w:rFonts w:ascii="Arial" w:hAnsi="Arial" w:cs="Arial"/>
        </w:rPr>
        <w:t xml:space="preserve"> odgovor Ministarstva unutarnjih poslova u svakom pojedinom segmentu rada, organizirano i sistematski treba dovesti do profesionalno najviše razine djelotvornosti, čemu smo u ovoj godini primarno i okrenuti. </w:t>
      </w:r>
    </w:p>
    <w:p w:rsidR="00146E18" w:rsidRPr="00146E18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t>U tom smislu fokus je na potpunoj implementaciji funkcionalne reorganizacije Ministarstva unutarnjih poslova, čija je temeljna svrha ojačati operativni dio policijskog sustava i time dodatno podići razinu učinkovitosti i ekonomičnosti policije</w:t>
      </w:r>
      <w:r w:rsidR="004F18D5">
        <w:rPr>
          <w:rFonts w:ascii="Arial" w:hAnsi="Arial" w:cs="Arial"/>
        </w:rPr>
        <w:t xml:space="preserve"> </w:t>
      </w:r>
      <w:r w:rsidRPr="00146E18">
        <w:rPr>
          <w:rFonts w:ascii="Arial" w:hAnsi="Arial" w:cs="Arial"/>
        </w:rPr>
        <w:t xml:space="preserve">kako bi išla u korak sa suvremenim razvojem i potrebama društva. </w:t>
      </w:r>
    </w:p>
    <w:p w:rsidR="00146E18" w:rsidRPr="00146E18" w:rsidRDefault="004F18D5" w:rsidP="004F18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Pratimo trendove globalizacije i dostignuća</w:t>
      </w:r>
      <w:r w:rsidR="00146E18" w:rsidRPr="00146E18">
        <w:rPr>
          <w:rFonts w:ascii="Arial" w:hAnsi="Arial" w:cs="Arial"/>
        </w:rPr>
        <w:t xml:space="preserve"> suvremenih tehnologija i u legislativnom smislu, sustavno predlažući izmjene i dopune normativnih akata, sukladno aktualnim novitetima.  </w:t>
      </w:r>
    </w:p>
    <w:p w:rsidR="00146E18" w:rsidRPr="00146E18" w:rsidRDefault="004F18D5" w:rsidP="004F18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 toga proizlazi </w:t>
      </w:r>
      <w:r w:rsidR="00146E18" w:rsidRPr="00146E18">
        <w:rPr>
          <w:rFonts w:ascii="Arial" w:hAnsi="Arial" w:cs="Arial"/>
        </w:rPr>
        <w:t xml:space="preserve">i naša daljnja odlučnost u nastavku digitalizacije i informatizacije radnih procesa, ali i usluga koje ovo Ministarstvo pruža građanima. Naš pristup nabavi sveobuhvatan je i uključiv, te rezultira posjedovanjem višenamjenske opreme i uređaja, primjenjivima za provedbu profesionalnih zadaća </w:t>
      </w:r>
      <w:r w:rsidR="00AE38E1">
        <w:rPr>
          <w:rFonts w:ascii="Arial" w:hAnsi="Arial" w:cs="Arial"/>
        </w:rPr>
        <w:t>širokog spektra rodova policije</w:t>
      </w:r>
    </w:p>
    <w:p w:rsidR="00146E18" w:rsidRPr="00146E18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lastRenderedPageBreak/>
        <w:t>Takvim planskim umrežavanjem</w:t>
      </w:r>
      <w:r w:rsidR="0078736B">
        <w:rPr>
          <w:rFonts w:ascii="Arial" w:hAnsi="Arial" w:cs="Arial"/>
        </w:rPr>
        <w:t>,</w:t>
      </w:r>
      <w:r w:rsidRPr="00146E18">
        <w:rPr>
          <w:rFonts w:ascii="Arial" w:hAnsi="Arial" w:cs="Arial"/>
        </w:rPr>
        <w:t xml:space="preserve"> sustav jačamo u samim njegovim temeljima, što ćemo nastaviti raditi i po pitanju opremanja, adaptacije i izgradnje nužnih objekata policije diljem zemlje. </w:t>
      </w:r>
    </w:p>
    <w:p w:rsidR="00146E18" w:rsidRPr="00146E18" w:rsidRDefault="004F18D5" w:rsidP="004F18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Nastavljamo ulagati u</w:t>
      </w:r>
      <w:r w:rsidR="00DA3B19">
        <w:rPr>
          <w:rFonts w:ascii="Arial" w:hAnsi="Arial" w:cs="Arial"/>
        </w:rPr>
        <w:t xml:space="preserve"> bolje uvjete rada policije te u</w:t>
      </w:r>
      <w:r w:rsidR="00146E18" w:rsidRPr="00146E18">
        <w:rPr>
          <w:rFonts w:ascii="Arial" w:hAnsi="Arial" w:cs="Arial"/>
        </w:rPr>
        <w:t xml:space="preserve"> obnov</w:t>
      </w:r>
      <w:r w:rsidR="00DA3B19">
        <w:rPr>
          <w:rFonts w:ascii="Arial" w:hAnsi="Arial" w:cs="Arial"/>
        </w:rPr>
        <w:t>u</w:t>
      </w:r>
      <w:r w:rsidR="00146E18" w:rsidRPr="00146E18">
        <w:rPr>
          <w:rFonts w:ascii="Arial" w:hAnsi="Arial" w:cs="Arial"/>
        </w:rPr>
        <w:t xml:space="preserve"> potres</w:t>
      </w:r>
      <w:r w:rsidR="00DA3B19">
        <w:rPr>
          <w:rFonts w:ascii="Arial" w:hAnsi="Arial" w:cs="Arial"/>
        </w:rPr>
        <w:t>om</w:t>
      </w:r>
      <w:r w:rsidR="00146E18" w:rsidRPr="00146E18">
        <w:rPr>
          <w:rFonts w:ascii="Arial" w:hAnsi="Arial" w:cs="Arial"/>
        </w:rPr>
        <w:t xml:space="preserve"> razrušen</w:t>
      </w:r>
      <w:r w:rsidR="00DA3B19">
        <w:rPr>
          <w:rFonts w:ascii="Arial" w:hAnsi="Arial" w:cs="Arial"/>
        </w:rPr>
        <w:t>e</w:t>
      </w:r>
      <w:r w:rsidR="00146E18" w:rsidRPr="00146E18">
        <w:rPr>
          <w:rFonts w:ascii="Arial" w:hAnsi="Arial" w:cs="Arial"/>
        </w:rPr>
        <w:t xml:space="preserve"> ili oštećen</w:t>
      </w:r>
      <w:r w:rsidR="00DA3B19">
        <w:rPr>
          <w:rFonts w:ascii="Arial" w:hAnsi="Arial" w:cs="Arial"/>
        </w:rPr>
        <w:t>e</w:t>
      </w:r>
      <w:r w:rsidR="00146E18" w:rsidRPr="00146E18">
        <w:rPr>
          <w:rFonts w:ascii="Arial" w:hAnsi="Arial" w:cs="Arial"/>
        </w:rPr>
        <w:t xml:space="preserve"> objekt</w:t>
      </w:r>
      <w:r w:rsidR="00DA3B19">
        <w:rPr>
          <w:rFonts w:ascii="Arial" w:hAnsi="Arial" w:cs="Arial"/>
        </w:rPr>
        <w:t>e</w:t>
      </w:r>
      <w:r w:rsidR="00146E18" w:rsidRPr="00146E18">
        <w:rPr>
          <w:rFonts w:ascii="Arial" w:hAnsi="Arial" w:cs="Arial"/>
        </w:rPr>
        <w:t xml:space="preserve">, za što su </w:t>
      </w:r>
      <w:r>
        <w:rPr>
          <w:rFonts w:ascii="Arial" w:hAnsi="Arial" w:cs="Arial"/>
        </w:rPr>
        <w:t xml:space="preserve">osigurana </w:t>
      </w:r>
      <w:r w:rsidR="00146E18" w:rsidRPr="00146E18">
        <w:rPr>
          <w:rFonts w:ascii="Arial" w:hAnsi="Arial" w:cs="Arial"/>
        </w:rPr>
        <w:t>sredstava iz europskih fondova i planova oporavka</w:t>
      </w:r>
      <w:r>
        <w:rPr>
          <w:rFonts w:ascii="Arial" w:hAnsi="Arial" w:cs="Arial"/>
        </w:rPr>
        <w:t>. U</w:t>
      </w:r>
      <w:r w:rsidR="00146E18" w:rsidRPr="00146E18">
        <w:rPr>
          <w:rFonts w:ascii="Arial" w:hAnsi="Arial" w:cs="Arial"/>
        </w:rPr>
        <w:t xml:space="preserve"> ovoj godini nadamo </w:t>
      </w:r>
      <w:r w:rsidR="00EE0EE4">
        <w:rPr>
          <w:rFonts w:ascii="Arial" w:hAnsi="Arial" w:cs="Arial"/>
        </w:rPr>
        <w:t xml:space="preserve">se </w:t>
      </w:r>
      <w:r w:rsidR="00146E18" w:rsidRPr="00146E18">
        <w:rPr>
          <w:rFonts w:ascii="Arial" w:hAnsi="Arial" w:cs="Arial"/>
        </w:rPr>
        <w:t xml:space="preserve">finalizaciji procesa obnove zgrada.   </w:t>
      </w:r>
    </w:p>
    <w:p w:rsidR="00146E18" w:rsidRPr="00CF00A5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t>Pitanje obrazovanja i svekoliko</w:t>
      </w:r>
      <w:r w:rsidR="0078736B">
        <w:rPr>
          <w:rFonts w:ascii="Arial" w:hAnsi="Arial" w:cs="Arial"/>
        </w:rPr>
        <w:t xml:space="preserve"> ulaganje</w:t>
      </w:r>
      <w:r w:rsidRPr="00146E18">
        <w:rPr>
          <w:rFonts w:ascii="Arial" w:hAnsi="Arial" w:cs="Arial"/>
        </w:rPr>
        <w:t xml:space="preserve"> u obrazovne procese unutar Ministarstva unutarnjih poslova i ove je godine visoko na listi naših prioriteta, od izgradnje nastavnih centara, do razvoja novih obrazovnih i modela stručnog usavršavanja, koji idu u korak s novim sigurnosnim saznanjima. </w:t>
      </w:r>
      <w:r w:rsidR="00CF00A5">
        <w:rPr>
          <w:rFonts w:ascii="Arial" w:hAnsi="Arial" w:cs="Arial"/>
        </w:rPr>
        <w:tab/>
      </w:r>
    </w:p>
    <w:p w:rsidR="00146E18" w:rsidRPr="00146E18" w:rsidRDefault="004F18D5" w:rsidP="004F18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146E18" w:rsidRPr="00146E18">
        <w:rPr>
          <w:rFonts w:ascii="Arial" w:hAnsi="Arial" w:cs="Arial"/>
        </w:rPr>
        <w:t xml:space="preserve"> operativnom smislu nastavljamo jačati kapacitete u borbi protiv </w:t>
      </w:r>
      <w:proofErr w:type="spellStart"/>
      <w:r w:rsidR="00146E18" w:rsidRPr="00146E18">
        <w:rPr>
          <w:rFonts w:ascii="Arial" w:hAnsi="Arial" w:cs="Arial"/>
        </w:rPr>
        <w:t>kibernetičkog</w:t>
      </w:r>
      <w:proofErr w:type="spellEnd"/>
      <w:r w:rsidR="00146E18" w:rsidRPr="00146E18">
        <w:rPr>
          <w:rFonts w:ascii="Arial" w:hAnsi="Arial" w:cs="Arial"/>
        </w:rPr>
        <w:t xml:space="preserve"> kriminaliteta, prevenciji i suzbijanju terorizma</w:t>
      </w:r>
      <w:r>
        <w:rPr>
          <w:rFonts w:ascii="Arial" w:hAnsi="Arial" w:cs="Arial"/>
        </w:rPr>
        <w:t>.</w:t>
      </w:r>
      <w:r w:rsidR="00146E18" w:rsidRPr="00146E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146E18" w:rsidRPr="00146E18">
        <w:rPr>
          <w:rFonts w:ascii="Arial" w:hAnsi="Arial" w:cs="Arial"/>
        </w:rPr>
        <w:t>ad policije prije svega je usmjeren na suzbijanje koruptivnih kaznenih djela, nezakonitih migracij</w:t>
      </w:r>
      <w:r>
        <w:rPr>
          <w:rFonts w:ascii="Arial" w:hAnsi="Arial" w:cs="Arial"/>
        </w:rPr>
        <w:t>a, krijumčarenja</w:t>
      </w:r>
      <w:r w:rsidR="00146E18" w:rsidRPr="00146E18">
        <w:rPr>
          <w:rFonts w:ascii="Arial" w:hAnsi="Arial" w:cs="Arial"/>
        </w:rPr>
        <w:t>, prekograničn</w:t>
      </w:r>
      <w:r>
        <w:rPr>
          <w:rFonts w:ascii="Arial" w:hAnsi="Arial" w:cs="Arial"/>
        </w:rPr>
        <w:t>og</w:t>
      </w:r>
      <w:r w:rsidR="00146E18" w:rsidRPr="00146E18">
        <w:rPr>
          <w:rFonts w:ascii="Arial" w:hAnsi="Arial" w:cs="Arial"/>
        </w:rPr>
        <w:t xml:space="preserve"> kriminalitet</w:t>
      </w:r>
      <w:r>
        <w:rPr>
          <w:rFonts w:ascii="Arial" w:hAnsi="Arial" w:cs="Arial"/>
        </w:rPr>
        <w:t>a</w:t>
      </w:r>
      <w:r w:rsidR="00146E18" w:rsidRPr="00146E18">
        <w:rPr>
          <w:rFonts w:ascii="Arial" w:hAnsi="Arial" w:cs="Arial"/>
        </w:rPr>
        <w:t>, nedopuštenu proizvodnju i promet drogama, ratne zločine i prevenciju u svim segmentima djelovanja.</w:t>
      </w:r>
    </w:p>
    <w:p w:rsidR="00146E18" w:rsidRPr="00146E18" w:rsidRDefault="00146E18" w:rsidP="004F18D5">
      <w:pPr>
        <w:spacing w:line="360" w:lineRule="auto"/>
        <w:jc w:val="both"/>
        <w:rPr>
          <w:rFonts w:ascii="Arial" w:hAnsi="Arial" w:cs="Arial"/>
        </w:rPr>
      </w:pPr>
      <w:r w:rsidRPr="00146E18">
        <w:rPr>
          <w:rFonts w:ascii="Arial" w:hAnsi="Arial" w:cs="Arial"/>
        </w:rPr>
        <w:t>Unaprjeđenjem sustava unutarnjih poslova kroz izdvojene, glavne ovogodišnje smjerove ulaganja i razvoja, cilj nam je pružiti bržu, učinkovitiju i moderniju uslugu našim</w:t>
      </w:r>
      <w:r w:rsidR="00504F45">
        <w:rPr>
          <w:rFonts w:ascii="Arial" w:hAnsi="Arial" w:cs="Arial"/>
        </w:rPr>
        <w:t xml:space="preserve"> građanima u upravnim procesima</w:t>
      </w:r>
      <w:r w:rsidR="00DA3B19">
        <w:rPr>
          <w:rFonts w:ascii="Arial" w:hAnsi="Arial" w:cs="Arial"/>
        </w:rPr>
        <w:t xml:space="preserve"> te da</w:t>
      </w:r>
      <w:r w:rsidR="00504F45">
        <w:rPr>
          <w:rFonts w:ascii="Arial" w:hAnsi="Arial" w:cs="Arial"/>
        </w:rPr>
        <w:t xml:space="preserve"> M</w:t>
      </w:r>
      <w:r w:rsidR="0078736B">
        <w:rPr>
          <w:rFonts w:ascii="Arial" w:hAnsi="Arial" w:cs="Arial"/>
        </w:rPr>
        <w:t xml:space="preserve">inistarstvo unutarnjih poslova </w:t>
      </w:r>
      <w:r w:rsidR="00504F45">
        <w:rPr>
          <w:rFonts w:ascii="Arial" w:hAnsi="Arial" w:cs="Arial"/>
        </w:rPr>
        <w:t xml:space="preserve">nastavi obavljati </w:t>
      </w:r>
      <w:r w:rsidR="0078736B">
        <w:rPr>
          <w:rFonts w:ascii="Arial" w:hAnsi="Arial" w:cs="Arial"/>
        </w:rPr>
        <w:t>svoju</w:t>
      </w:r>
      <w:r w:rsidRPr="00146E18">
        <w:rPr>
          <w:rFonts w:ascii="Arial" w:hAnsi="Arial" w:cs="Arial"/>
        </w:rPr>
        <w:t xml:space="preserve"> osnovnu svrhu</w:t>
      </w:r>
      <w:r w:rsidR="00504F45">
        <w:rPr>
          <w:rFonts w:ascii="Arial" w:hAnsi="Arial" w:cs="Arial"/>
        </w:rPr>
        <w:t xml:space="preserve">, a to je </w:t>
      </w:r>
      <w:r w:rsidRPr="00146E18">
        <w:rPr>
          <w:rFonts w:ascii="Arial" w:hAnsi="Arial" w:cs="Arial"/>
        </w:rPr>
        <w:t xml:space="preserve">legitimno i profesionalno odgovorno očuvanje nacionalnog ustavnopravnog poretka i mira, odnosno hrvatske i europske sigurnosti. </w:t>
      </w:r>
    </w:p>
    <w:p w:rsidR="00146E18" w:rsidRPr="00337C23" w:rsidRDefault="00146E18" w:rsidP="004F1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50255" w:rsidRPr="00E50255" w:rsidRDefault="00E50255" w:rsidP="004F18D5">
      <w:pPr>
        <w:spacing w:line="276" w:lineRule="auto"/>
        <w:jc w:val="both"/>
        <w:rPr>
          <w:rFonts w:ascii="Arial" w:hAnsi="Arial" w:cs="Arial"/>
        </w:rPr>
      </w:pPr>
    </w:p>
    <w:p w:rsidR="00E50255" w:rsidRPr="00E50255" w:rsidRDefault="00E50255" w:rsidP="00CB034D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E50255">
        <w:rPr>
          <w:rFonts w:ascii="Arial" w:hAnsi="Arial" w:cs="Arial"/>
          <w:b/>
        </w:rPr>
        <w:t>Potpredsjednik Vlade i ministar</w:t>
      </w:r>
    </w:p>
    <w:p w:rsidR="00E50255" w:rsidRDefault="00E50255" w:rsidP="00CB034D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E50255">
        <w:rPr>
          <w:rFonts w:ascii="Arial" w:hAnsi="Arial" w:cs="Arial"/>
          <w:b/>
        </w:rPr>
        <w:t xml:space="preserve">      dr. </w:t>
      </w:r>
      <w:proofErr w:type="spellStart"/>
      <w:r w:rsidRPr="00E50255">
        <w:rPr>
          <w:rFonts w:ascii="Arial" w:hAnsi="Arial" w:cs="Arial"/>
          <w:b/>
        </w:rPr>
        <w:t>sc</w:t>
      </w:r>
      <w:proofErr w:type="spellEnd"/>
      <w:r w:rsidRPr="00E50255">
        <w:rPr>
          <w:rFonts w:ascii="Arial" w:hAnsi="Arial" w:cs="Arial"/>
          <w:b/>
        </w:rPr>
        <w:t xml:space="preserve">. Davor Božinović </w:t>
      </w:r>
    </w:p>
    <w:p w:rsidR="00146E18" w:rsidRDefault="00146E18" w:rsidP="00CB034D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146E18" w:rsidRDefault="00146E18" w:rsidP="00CB034D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146E18" w:rsidRDefault="00146E18" w:rsidP="00CB034D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146E18" w:rsidRPr="00E50255" w:rsidRDefault="00146E18" w:rsidP="004F18D5">
      <w:pPr>
        <w:spacing w:line="360" w:lineRule="auto"/>
        <w:jc w:val="both"/>
        <w:rPr>
          <w:rFonts w:ascii="Arial" w:hAnsi="Arial" w:cs="Arial"/>
          <w:b/>
        </w:rPr>
      </w:pPr>
    </w:p>
    <w:p w:rsidR="00202991" w:rsidRDefault="00202991" w:rsidP="00301AED">
      <w:pPr>
        <w:keepNext/>
        <w:keepLines/>
        <w:spacing w:before="480" w:after="0" w:line="276" w:lineRule="auto"/>
        <w:outlineLvl w:val="0"/>
        <w:rPr>
          <w:b/>
        </w:rPr>
      </w:pPr>
    </w:p>
    <w:tbl>
      <w:tblPr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9070"/>
      </w:tblGrid>
      <w:tr w:rsidR="00301AED" w:rsidRPr="00301AED" w:rsidTr="00AF4B7C">
        <w:trPr>
          <w:trHeight w:val="406"/>
        </w:trPr>
        <w:tc>
          <w:tcPr>
            <w:tcW w:w="9072" w:type="dxa"/>
            <w:shd w:val="clear" w:color="auto" w:fill="365F91"/>
            <w:vAlign w:val="center"/>
            <w:hideMark/>
          </w:tcPr>
          <w:p w:rsidR="00301AED" w:rsidRDefault="00301AED" w:rsidP="00301AED">
            <w:pPr>
              <w:keepNext/>
              <w:spacing w:after="0" w:line="276" w:lineRule="auto"/>
              <w:ind w:left="1080"/>
              <w:contextualSpacing/>
              <w:outlineLvl w:val="1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  <w:lang w:eastAsia="hr-HR"/>
              </w:rPr>
            </w:pPr>
            <w:bookmarkStart w:id="5" w:name="_Toc61608699"/>
            <w:bookmarkStart w:id="6" w:name="_Toc65579930"/>
          </w:p>
          <w:p w:rsidR="00301AED" w:rsidRPr="00301AED" w:rsidRDefault="00301AED" w:rsidP="00301AED">
            <w:pPr>
              <w:pStyle w:val="Odlomakpopisa"/>
              <w:keepNext/>
              <w:numPr>
                <w:ilvl w:val="0"/>
                <w:numId w:val="4"/>
              </w:numPr>
              <w:spacing w:after="0" w:line="276" w:lineRule="auto"/>
              <w:outlineLvl w:val="1"/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  <w:lang w:eastAsia="hr-HR"/>
              </w:rPr>
            </w:pPr>
            <w:bookmarkStart w:id="7" w:name="_Toc96417908"/>
            <w:r w:rsidRPr="00301AED">
              <w:rPr>
                <w:rFonts w:ascii="Arial" w:eastAsia="Times New Roman" w:hAnsi="Arial" w:cs="Arial"/>
                <w:b/>
                <w:bCs/>
                <w:color w:val="F2F2F2" w:themeColor="background1" w:themeShade="F2"/>
                <w:sz w:val="24"/>
                <w:szCs w:val="24"/>
                <w:lang w:eastAsia="hr-HR"/>
              </w:rPr>
              <w:t>UVOD</w:t>
            </w:r>
            <w:bookmarkEnd w:id="5"/>
            <w:bookmarkEnd w:id="6"/>
            <w:bookmarkEnd w:id="7"/>
          </w:p>
        </w:tc>
      </w:tr>
    </w:tbl>
    <w:p w:rsidR="00301AED" w:rsidRDefault="00301AED" w:rsidP="00301AED">
      <w:pPr>
        <w:tabs>
          <w:tab w:val="left" w:pos="1134"/>
        </w:tabs>
        <w:spacing w:after="0" w:line="276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301AED" w:rsidRDefault="00301AED" w:rsidP="00301AED">
      <w:pPr>
        <w:tabs>
          <w:tab w:val="left" w:pos="1134"/>
        </w:tabs>
        <w:spacing w:after="0" w:line="276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301AED" w:rsidRPr="00527084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  <w:r w:rsidRPr="00832105">
        <w:rPr>
          <w:rFonts w:ascii="Arial" w:eastAsia="MS Mincho" w:hAnsi="Arial" w:cs="Arial"/>
          <w:bCs/>
          <w:lang w:eastAsia="ja-JP"/>
        </w:rPr>
        <w:t>Godišnji plan rada za 202</w:t>
      </w:r>
      <w:r w:rsidR="00202991">
        <w:rPr>
          <w:rFonts w:ascii="Arial" w:eastAsia="MS Mincho" w:hAnsi="Arial" w:cs="Arial"/>
          <w:bCs/>
          <w:lang w:eastAsia="ja-JP"/>
        </w:rPr>
        <w:t>2</w:t>
      </w:r>
      <w:r w:rsidRPr="00832105">
        <w:rPr>
          <w:rFonts w:ascii="Arial" w:eastAsia="MS Mincho" w:hAnsi="Arial" w:cs="Arial"/>
          <w:bCs/>
          <w:lang w:eastAsia="ja-JP"/>
        </w:rPr>
        <w:t xml:space="preserve">. godinu Ministarstva unutarnjih poslova (u daljnjem tekstu: Ministarstvo), kao i u svim tijelima državne uprave, izrađuje se na temelju članka </w:t>
      </w:r>
      <w:r w:rsidRPr="00527084">
        <w:rPr>
          <w:rFonts w:ascii="Arial" w:eastAsia="MS Mincho" w:hAnsi="Arial" w:cs="Arial"/>
          <w:bCs/>
          <w:lang w:eastAsia="ja-JP"/>
        </w:rPr>
        <w:t>24. Uredbe o općim pravilima za unutarnje ustrojstvo tijela državne uprave (NN 70/19), a u skladu s Uputom Ministarstva pravosuđa i uprave (prosinac 2020.).</w:t>
      </w:r>
    </w:p>
    <w:p w:rsidR="00301AED" w:rsidRPr="00832105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301AED" w:rsidRPr="00832105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301AED" w:rsidRPr="00832105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  <w:r w:rsidRPr="00832105">
        <w:rPr>
          <w:rFonts w:ascii="Arial" w:eastAsia="MS Mincho" w:hAnsi="Arial" w:cs="Arial"/>
          <w:bCs/>
          <w:lang w:eastAsia="ja-JP"/>
        </w:rPr>
        <w:t>Godišnji plan rada je plansko – upravljački provedbeni akt koji sadrži podatke o  mjerama koje se planiraju ostvariti u Ministarstvu</w:t>
      </w:r>
      <w:r>
        <w:rPr>
          <w:rFonts w:ascii="Arial" w:eastAsia="MS Mincho" w:hAnsi="Arial" w:cs="Arial"/>
          <w:bCs/>
          <w:lang w:eastAsia="ja-JP"/>
        </w:rPr>
        <w:t xml:space="preserve">, </w:t>
      </w:r>
      <w:r w:rsidRPr="00832105">
        <w:rPr>
          <w:rFonts w:ascii="Arial" w:eastAsia="MS Mincho" w:hAnsi="Arial" w:cs="Arial"/>
          <w:bCs/>
          <w:lang w:eastAsia="ja-JP"/>
        </w:rPr>
        <w:t xml:space="preserve"> dokument koji na godišnjoj razini opisuje planirane poslove povezane s djelokrugom i ustrojstvom Ministarstva te aktivnosti za provedbu mjera sadržanih u kratkoročnim aktima strateškog planiranja (provedbeni program, akcijski planovi)</w:t>
      </w:r>
      <w:r w:rsidR="00EE0EE4">
        <w:rPr>
          <w:rFonts w:ascii="Arial" w:eastAsia="MS Mincho" w:hAnsi="Arial" w:cs="Arial"/>
          <w:bCs/>
          <w:lang w:eastAsia="ja-JP"/>
        </w:rPr>
        <w:t>.</w:t>
      </w:r>
      <w:r w:rsidRPr="00832105">
        <w:rPr>
          <w:rFonts w:ascii="Arial" w:eastAsia="MS Mincho" w:hAnsi="Arial" w:cs="Arial"/>
          <w:bCs/>
          <w:lang w:eastAsia="ja-JP"/>
        </w:rPr>
        <w:t xml:space="preserve"> </w:t>
      </w:r>
      <w:r w:rsidR="00EE0EE4">
        <w:rPr>
          <w:rFonts w:ascii="Arial" w:eastAsia="MS Mincho" w:hAnsi="Arial" w:cs="Arial"/>
          <w:bCs/>
          <w:lang w:eastAsia="ja-JP"/>
        </w:rPr>
        <w:t>I</w:t>
      </w:r>
      <w:r w:rsidRPr="00832105">
        <w:rPr>
          <w:rFonts w:ascii="Arial" w:eastAsia="MS Mincho" w:hAnsi="Arial" w:cs="Arial"/>
          <w:bCs/>
          <w:lang w:eastAsia="ja-JP"/>
        </w:rPr>
        <w:t>zrađen</w:t>
      </w:r>
      <w:r w:rsidR="00DA3B19">
        <w:rPr>
          <w:rFonts w:ascii="Arial" w:eastAsia="MS Mincho" w:hAnsi="Arial" w:cs="Arial"/>
          <w:bCs/>
          <w:lang w:eastAsia="ja-JP"/>
        </w:rPr>
        <w:t xml:space="preserve"> je</w:t>
      </w:r>
      <w:r w:rsidRPr="00832105">
        <w:rPr>
          <w:rFonts w:ascii="Arial" w:eastAsia="MS Mincho" w:hAnsi="Arial" w:cs="Arial"/>
          <w:bCs/>
          <w:lang w:eastAsia="ja-JP"/>
        </w:rPr>
        <w:t xml:space="preserve"> temeljem </w:t>
      </w:r>
      <w:r w:rsidRPr="00527084">
        <w:rPr>
          <w:rFonts w:ascii="Arial" w:eastAsia="MS Mincho" w:hAnsi="Arial" w:cs="Arial"/>
          <w:bCs/>
          <w:lang w:eastAsia="ja-JP"/>
        </w:rPr>
        <w:t>Zakona o sustavu strateškog planiranja i upravljanja razvojem Republike Hrvatske (NN 123/17)</w:t>
      </w:r>
      <w:r w:rsidRPr="00832105">
        <w:rPr>
          <w:rFonts w:ascii="Arial" w:eastAsia="MS Mincho" w:hAnsi="Arial" w:cs="Arial"/>
          <w:bCs/>
          <w:lang w:eastAsia="ja-JP"/>
        </w:rPr>
        <w:t xml:space="preserve"> te osiguranim sredstvima u proračunu i drugim raspoloživim resursima.</w:t>
      </w:r>
    </w:p>
    <w:p w:rsidR="00301AED" w:rsidRPr="00832105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301AED" w:rsidRPr="00832105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  <w:r w:rsidRPr="00832105">
        <w:rPr>
          <w:rFonts w:ascii="Arial" w:eastAsia="MS Mincho" w:hAnsi="Arial" w:cs="Arial"/>
          <w:bCs/>
          <w:lang w:eastAsia="ja-JP"/>
        </w:rPr>
        <w:t>Godišnji plan rada je razrada Provedbenog programa Ministarstva 2021</w:t>
      </w:r>
      <w:r w:rsidR="00202991">
        <w:rPr>
          <w:rFonts w:ascii="Arial" w:eastAsia="MS Mincho" w:hAnsi="Arial" w:cs="Arial"/>
          <w:bCs/>
          <w:lang w:eastAsia="ja-JP"/>
        </w:rPr>
        <w:t xml:space="preserve">. do  </w:t>
      </w:r>
      <w:r w:rsidRPr="00832105">
        <w:rPr>
          <w:rFonts w:ascii="Arial" w:eastAsia="MS Mincho" w:hAnsi="Arial" w:cs="Arial"/>
          <w:bCs/>
          <w:lang w:eastAsia="ja-JP"/>
        </w:rPr>
        <w:t>2024</w:t>
      </w:r>
      <w:r w:rsidR="00202991">
        <w:rPr>
          <w:rFonts w:ascii="Arial" w:eastAsia="MS Mincho" w:hAnsi="Arial" w:cs="Arial"/>
          <w:bCs/>
          <w:lang w:eastAsia="ja-JP"/>
        </w:rPr>
        <w:t>.</w:t>
      </w:r>
      <w:r w:rsidRPr="00832105">
        <w:rPr>
          <w:rFonts w:ascii="Arial" w:eastAsia="MS Mincho" w:hAnsi="Arial" w:cs="Arial"/>
          <w:bCs/>
          <w:lang w:eastAsia="ja-JP"/>
        </w:rPr>
        <w:t xml:space="preserve"> na godišnjoj razini na način da su sve aktivnosti povezane sa mjerama definiranim u Provedbenom programu.</w:t>
      </w:r>
    </w:p>
    <w:p w:rsidR="00301AED" w:rsidRPr="00832105" w:rsidRDefault="00301AED" w:rsidP="00301AED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301AED" w:rsidRPr="00301AED" w:rsidRDefault="00301AED" w:rsidP="00301AED">
      <w:pPr>
        <w:tabs>
          <w:tab w:val="left" w:pos="1134"/>
        </w:tabs>
        <w:spacing w:after="0" w:line="276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301AED" w:rsidRPr="00301AED" w:rsidRDefault="00301AED" w:rsidP="00301AED">
      <w:pPr>
        <w:tabs>
          <w:tab w:val="left" w:pos="1134"/>
        </w:tabs>
        <w:spacing w:after="0" w:line="276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tbl>
      <w:tblPr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9070"/>
      </w:tblGrid>
      <w:tr w:rsidR="00301AED" w:rsidRPr="00301AED" w:rsidTr="00301AED">
        <w:trPr>
          <w:trHeight w:val="406"/>
        </w:trPr>
        <w:tc>
          <w:tcPr>
            <w:tcW w:w="9070" w:type="dxa"/>
            <w:shd w:val="clear" w:color="auto" w:fill="365F91"/>
            <w:vAlign w:val="center"/>
            <w:hideMark/>
          </w:tcPr>
          <w:p w:rsidR="00301AED" w:rsidRPr="00301AED" w:rsidRDefault="00301AED" w:rsidP="00301AED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Arial" w:eastAsia="Times New Roman" w:hAnsi="Arial" w:cs="Arial"/>
                <w:color w:val="FFFFFF" w:themeColor="background1"/>
                <w:sz w:val="24"/>
                <w:szCs w:val="26"/>
                <w:lang w:eastAsia="hr-HR"/>
              </w:rPr>
            </w:pPr>
            <w:bookmarkStart w:id="8" w:name="_Toc65579931"/>
            <w:bookmarkStart w:id="9" w:name="_Toc96417909"/>
            <w:r w:rsidRPr="00301AED">
              <w:rPr>
                <w:rFonts w:ascii="Arial" w:eastAsia="Times New Roman" w:hAnsi="Arial" w:cs="Arial"/>
                <w:color w:val="FFFFFF" w:themeColor="background1"/>
                <w:sz w:val="24"/>
                <w:szCs w:val="26"/>
                <w:lang w:eastAsia="hr-HR"/>
              </w:rPr>
              <w:t>2.1. Djelokrug</w:t>
            </w:r>
            <w:bookmarkEnd w:id="8"/>
            <w:bookmarkEnd w:id="9"/>
          </w:p>
        </w:tc>
      </w:tr>
    </w:tbl>
    <w:p w:rsidR="00301AED" w:rsidRPr="00301AED" w:rsidRDefault="00301AED" w:rsidP="00301AED">
      <w:pPr>
        <w:spacing w:line="276" w:lineRule="auto"/>
        <w:jc w:val="center"/>
        <w:rPr>
          <w:rFonts w:ascii="Arial" w:hAnsi="Arial" w:cs="Arial"/>
        </w:rPr>
      </w:pP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>Ministarstvo unutarnjih poslova</w:t>
      </w:r>
      <w:r>
        <w:rPr>
          <w:rFonts w:ascii="Arial" w:hAnsi="Arial" w:cs="Arial"/>
          <w:color w:val="231F20"/>
          <w:sz w:val="22"/>
          <w:szCs w:val="22"/>
        </w:rPr>
        <w:t xml:space="preserve"> ( u daljnjem tekstu: Ministarstvo)</w:t>
      </w:r>
      <w:r w:rsidRPr="009F5638">
        <w:rPr>
          <w:rFonts w:ascii="Arial" w:hAnsi="Arial" w:cs="Arial"/>
          <w:color w:val="231F20"/>
          <w:sz w:val="22"/>
          <w:szCs w:val="22"/>
        </w:rPr>
        <w:t xml:space="preserve"> obavlja upravne i druge poslove koji se odnose na: poslove policije i kriminalističke policije, i to zaštitu života i osobnu sigurnost ljudi i imovine, sprječavanje i otkrivanje kaznenih djela; pronalaženje i hvatanje počinitelja kaznenih djela i njihovo privođenje nadležnim tijelima; održavanje javnog reda i mira te zaštitu određenih osoba, građevina i prostora; obavljanje kriminalističko-tehničkih poslova i vještačenja; poslove sigurnosti prometa na cestama; nadzor državne granice; kretanje i boravak stranaca te njihova prihvata; putne isprave za prelazak preko državne granice; održavanje javnih okupljanja; državljanstvo; izdavanje osobnih iskaznica, prijavljivanje prebivališta i boravišta građana; izdavanje vozačkih dozvola i registracije motornih vozila; nabavu, držanje i nošenje oružja i streljiva; poslove zaštite od požara, privatne zaštite, privatnih detektiva, zaštite novčarskih institucija,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protuminskog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djelovanja te poslove vezane uz eksplozivne tvari i proizvodnju i promet oružja; poslove specijalne policije.</w:t>
      </w: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lastRenderedPageBreak/>
        <w:t>Ministarstvo obavlja upravne i stručne poslove koji se odnose na: uspostavu sustava civilne zaštite, spašavanja građana, materijalnih dobara i drugih dobara u velikim nesrećama i katastrofama; organizira sudionike, operativne snage i građane za ostvarivanje zaštite i spašavanja ljudi, životinja, materijalnih i kulturnih dobara i okoliša u velikim nesrećama i katastrofama i otklanjanja posljedica terorizma i ratnih razaranja; osposobljava i usavršava sudionike zaštite i spašavanja, pruža nužnu pomoć radi otklanjanja posljedica u slučaju opće opasnosti prouzročene elementarnim nepogodama, epidemijama i drugim katastrofama; provodi poslove, mjere i aktivnosti civilne zaštite; upravlja sustavom uzbunjivanja i obavješćivanja te obavlja međunarodnu suradnju u području civilne zaštite.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 xml:space="preserve">Ministarstvo obavlja inspekcijske poslove u području civilne zaštite, zaštite od požara, proizvodnje i prometa eksplozivnih tvari i oružja, privatne zaštite i detektivskih poslova, radiološke i nuklearne sigurnosti te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protuminskog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djelovanja.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>Ministarstvo obavlja upravne i stručne poslove koji se odnose na: izdavanje dozvola za obavljanje nuklearne djelatnosti; provođenje nezavisne analize sigurnosti; izdavanje rješenja, suglasnosti odnosno posebnih uvjeta za smještaj, projektiranje, gradnju, uporabu te razgradnju objekta u kojem se obavlja nuklearna djelatnost; praćenje tehnologije razgradnje nuklearnih elektrana i zbrinjavanja radioaktivnog otpada podrijetlom iz nuklearnih elektrana ili istrošenog nuklearnog goriva; vođenje očevidnika o rješenjima i suglasnostima; vođenje registra nuklearnih djelatnosti i materijala; izdavanje odobrenja za prijevoz i provoz izvora ionizirajućeg zračenja; vođenje i nadziranje evidencije o prijevozu i provozu izvora ionizirajućeg zračenja; ovlašćivanje izvršitelja za nuklearnu sigurnost; obavljanje poslova vezanih uz sigurnost radioaktivnih izvora, nuklearnog materijala i nuklearnih objekata te radioaktivnog otpada; praćenje stanja sigurnosti nuklearnih postrojenja u regiji i provođenje procjene opasnosti od mogućih nuklearnih nesreća u njima.</w:t>
      </w: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 xml:space="preserve">Ministarstvo obavlja upravne i stručne poslove koji se odnose na: oblikovanje standarda i metoda u praćenju stanja zaštite od ionizirajućeg zračenja; davanje odobrenja za obavljanje djelatnosti s izvorima ionizirajućeg zračenja te davanje dozvola za nabavu, uvoz, izvoz i uporabu izvora ionizirajućeg zračenja; ovlašćivanje stručnih tehničkih servisa za obavljanje stručnih poslova zaštite od ionizirajućeg zračenja; davanja dozimetrijske procjene izloženosti ionizirajućem zračenju izloženih radnika i stanovništva od medicinskog izlaganja prilikom dijagnostičkih i terapijskih postupaka; vođenje očevidnika o odobrenjima, dozvolama, suglasnostima, rješenjima i potvrdama te vođenje i nadziranje očevidnika o izvorima ionizirajućeg zračenja, nositeljima odobrenja za obavljanje djelatnosti s izvorima ionizirajućeg zračenja, korisnicima, izloženim radnicima, stupnju ozračenosti izloženih radnika te stupnju ozračenosti osoba izloženih medicinskom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ozračenju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i drugih osoba; sudjelovanje u postupku izdavanja lokacijske dozvole, građevinske dozvole, dozvole za uklanjanje i izdavanje uporabne dozvole za građevine u kojima su smješteni izvori ionizirajućeg zračenja ili se obavlja djelatnost </w:t>
      </w:r>
      <w:r w:rsidRPr="009F5638">
        <w:rPr>
          <w:rFonts w:ascii="Arial" w:hAnsi="Arial" w:cs="Arial"/>
          <w:color w:val="231F20"/>
          <w:sz w:val="22"/>
          <w:szCs w:val="22"/>
        </w:rPr>
        <w:lastRenderedPageBreak/>
        <w:t xml:space="preserve">s izvorima ionizirajućeg zračenja; izrađivanje stručnih podloga za nastavne programe i planove za redovito i dopunsko obrazovanje te obnovu znanja iz područja zaštite od ionizirajućeg zračenja; utvrđivanje udovoljavanja pravnih osoba propisanim uvjetima za organizaciju i provedbu dopunskog obrazovanja i obnove znanja o primjeni mjera zaštite od ionizirajućeg zračenja; poredbena ispitivanja među ovlaštenim stručnim tehničkim servisima koji provode mjerenje osobnog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ozračenja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; organizaciju, a po potrebi i provođenje ispitivanja prisutnosti vrste i jakosti ionizirajućeg zračenja u okolišu, ljudskoj i stočnoj hrani, lijekovima i predmetima opće uporabe u redovitim uvjetima te u slučaju sumnje na izvanredni događaj; procjenu izloženosti stanovništva od izlaganja ionizirajućem zračenju od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radionuklida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iz okoliša; praćenje izloženosti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radionuklidima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nastalim u radnim aktivnostima i njihova ispuštanja u okoliš; vođenje evidencija o stanju radioaktivnosti u okolišu; izvještavanje o stanju radioaktivnosti u okolišu; davanja odobrenja za djelatnosti s radioaktivnim otpadom, vođenje i nadziranje evidencija o radioaktivnom otpadu.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>Ministarstvo obavlja upravne i stručne poslove koji se odnose na: obavljanje inspekcijskih poslova vezanih uz nadzor provedbe zakona, drugih propisa i općih akata kojima se uređuje područje radiološke i nuklearne sigurnosti; organiziranje sustava pripravnosti za slučaj izvanrednog događaja; osiguravanje stručne pomoći u slučaju nuklearne nezgode/nesreće; pripremanje i provođenje potrebne stručne i tehničke aktivnosti programa pripravnosti i djelovanja u slučaju izvanrednog događaja; pripremanje obavijesti za sredstva javnog informiranja, nadležna tijela, organizacije, udruge i međunarodne institucije o izvanrednim događajima vezanim uz izvore ionizirajućeg zračenja; prikupljanje podataka i informacija o radiološkoj ili nuklearnoj nesreći, suradnju s odgovarajućim centrima drugih zemalja, analizu i procjenu potencijalnih posljedica radiološke ili nuklearne nesreće i pripremu temeljnih stručnih podloga za donošenje odluka o poduzimanju mjera zaštite i spašavanja stanovništva; organiziranje i nadzor provedbe sanacije posljedica nezgode; kontrolu neovlaštenog prometa nuklearnog i drugog radioaktivnog materijala, uključujući promet preko državne granice; zbrinjavanje otkrivenog nuklearnog i drugog radioaktivnog materijala; vođenje evidencija vezanih uz nadzor neovlaštenog prometa nuklearnog i drugog radioaktivnog materijala.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 xml:space="preserve">Ministarstvo provodi obveze koje je Republika Hrvatska preuzela prema međunarodnim konvencijama, ugovorima i sporazumima, a odnose se na: zaštitu od ionizirajućeg zračenja, nuklearnu sigurnost i primjenu mjera zaštite u svrhu neširenja nuklearnog oružja; surađuje s međunarodnim i domaćim organizacijama i društvima s područja zaštite od ionizirajućeg zračenja i nuklearne sigurnosti te imenuje svoje stručne predstavnike koji sudjeluju u radu tih organizacija i društava i prate njihov rad; koordinira poslove tehničke suradnje s Međunarodnom agencijom za atomsku energiju za sve sudionike iz Republike Hrvatske; potiče i podupire znanstveni i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razvojnoistraživački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rad, potiče stručna statistička i druga istraživanja u skladu sa zahtjevima i potrebama razvoja nuklearne sigurnosti i zaštite od ionizirajućeg zračenja u Republici Hrvatskoj; izdaje upute za provođenje međunarodnih preporuka i normi </w:t>
      </w:r>
      <w:r w:rsidRPr="009F5638">
        <w:rPr>
          <w:rFonts w:ascii="Arial" w:hAnsi="Arial" w:cs="Arial"/>
          <w:color w:val="231F20"/>
          <w:sz w:val="22"/>
          <w:szCs w:val="22"/>
        </w:rPr>
        <w:lastRenderedPageBreak/>
        <w:t>u području zaštite od ionizirajućeg zračenja i nuklearne sigurnosti te oblikuje standarde i metode u praćenju stanja zaštite od ionizirajućeg zračenja.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>Ministarstvo obavlja upravne i stručne poslove koji se odnose na: provođenje tehničkog nadgledanja postrojenja koje obuhvaća klasifikaciju prostora, instalacije i uređaje namijenjene za rad u prostorima ugroženima eksplozivnom atmosferom; održavanost postrojenja, kao i opasnost od ostalih uzročnika paljenja, sukladno hrvatskim normama; provođenje tehničkog nadgledanja aktivnosti koje obuhvaća proizvodnju, popravak, instaliranje i održavanje uređaja namijenjenih za rad u prostorima ugroženima eksplozivnom atmosferom; provođenje tehničkog nadgledanja nad dokumentacijom za postrojenja i uređaja namijenjenih za rad u prostorima ugroženima eksplozivnom atmosferom; provođenje tehničkog nadgledanja nad obvezama poslodavca za zaštitu zdravlja i sigurnosti posloprimca u prostorima ugroženima eksplozivnom atmosferom; pripremu stručnih mišljenja o primjeni propisa na postrojenja i o potvrđivanju uređaja i proizvoda namijenjenih za rad u prostorima ugroženima eksplozivnom atmosferom; obavljanje ispitivanja, ocjenjivanja i potvrđivanja sukladnosti uređaja i opreme, zaštitnih sustava i komponenata namijenjenih eksplozivnoj atmosferi, plinova, para, maglica i prašine; obavljanje certifikacije eksplozivnih tvari i sustava upravljanja te edukaciju st</w:t>
      </w:r>
      <w:r>
        <w:rPr>
          <w:rFonts w:ascii="Arial" w:hAnsi="Arial" w:cs="Arial"/>
          <w:color w:val="231F20"/>
          <w:sz w:val="22"/>
          <w:szCs w:val="22"/>
        </w:rPr>
        <w:t>ručnog osoblja.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 xml:space="preserve">Ministarstvo obavlja upravne i stručne poslove koji se odnose na: prikupljanje i obradu podataka o područjima i objektima zagađenim MES-om i NUS-om ili njihovim dijelovima; vođenje evidencije o razminiranim područjima i/ili građevinama, o minski sumnjivom području, pronađenom i uništenom MES-u, NUS-u i njihovim dijelovima; obilježavanje minski sumnjivih područja; obavljanje poslova općeg izvida – analize i dopunskog općeg izvida minski sumnjivog područja; izradu idejnih planova razminiranja i izvedbenih planova tehničkog izvida; kontrolu kvalitete razminiranja i tehničkog izvida na radilištu; izdavanje potvrde o isključenju razminiranog područja i/ili građevine iz minski sumnjivog područja; obavljanje poslova tehničkog izvida minski sumnjivog područja primjenom odobrenih metoda; pružanje stručne pomoći i davanje potrebnih podataka nadležnim tijelima o opasnostima od MES-a i NUS-a i njihovih dijelova; informiranje i edukaciju stanovništva o opasnostima od MES-a i NUS-a i njihovih dijelova te poduzimanje mjera zaštite i spašavanja stanovništva; ustupanje poslova razminiranja ovlaštenim pravnim osobama i/ili obrtnicima; suradnju s međunarodnim subjektima u humanitarnom razminiranju te druge poslove u vezi s </w:t>
      </w:r>
      <w:proofErr w:type="spellStart"/>
      <w:r w:rsidRPr="009F5638">
        <w:rPr>
          <w:rFonts w:ascii="Arial" w:hAnsi="Arial" w:cs="Arial"/>
          <w:color w:val="231F20"/>
          <w:sz w:val="22"/>
          <w:szCs w:val="22"/>
        </w:rPr>
        <w:t>protuminskim</w:t>
      </w:r>
      <w:proofErr w:type="spellEnd"/>
      <w:r w:rsidRPr="009F5638">
        <w:rPr>
          <w:rFonts w:ascii="Arial" w:hAnsi="Arial" w:cs="Arial"/>
          <w:color w:val="231F20"/>
          <w:sz w:val="22"/>
          <w:szCs w:val="22"/>
        </w:rPr>
        <w:t xml:space="preserve"> djelovanjem određene zakonom ili po zahtjevu Vlade.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9F5638">
        <w:rPr>
          <w:rFonts w:ascii="Arial" w:hAnsi="Arial" w:cs="Arial"/>
          <w:color w:val="231F20"/>
          <w:sz w:val="22"/>
          <w:szCs w:val="22"/>
        </w:rPr>
        <w:t>Ministarstvo obavlja i druge poslove koji se odnose na: vođenje evidencija i statistike iz područja unutarnjih poslova; sustav informiranja u području unutarnjih poslova; obrazovanje i usavršavanje službenika unutarnjih poslova.</w:t>
      </w:r>
    </w:p>
    <w:p w:rsidR="009F5638" w:rsidRPr="009F5638" w:rsidRDefault="009F5638" w:rsidP="009F5638">
      <w:pPr>
        <w:pStyle w:val="box465012"/>
        <w:spacing w:before="0" w:beforeAutospacing="0" w:after="48" w:afterAutospacing="0" w:line="336" w:lineRule="atLeast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301AED" w:rsidRPr="00301AED" w:rsidRDefault="00301AED" w:rsidP="00301AED">
      <w:pPr>
        <w:tabs>
          <w:tab w:val="left" w:pos="540"/>
        </w:tabs>
        <w:spacing w:after="0" w:line="276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</w:p>
    <w:tbl>
      <w:tblPr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9070"/>
      </w:tblGrid>
      <w:tr w:rsidR="00301AED" w:rsidRPr="00301AED" w:rsidTr="00AF4B7C">
        <w:trPr>
          <w:trHeight w:val="406"/>
        </w:trPr>
        <w:tc>
          <w:tcPr>
            <w:tcW w:w="9288" w:type="dxa"/>
            <w:shd w:val="clear" w:color="auto" w:fill="365F91"/>
            <w:vAlign w:val="center"/>
            <w:hideMark/>
          </w:tcPr>
          <w:p w:rsidR="00301AED" w:rsidRPr="00301AED" w:rsidRDefault="00301AED" w:rsidP="00301AED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Arial" w:eastAsia="Times New Roman" w:hAnsi="Arial" w:cs="Arial"/>
                <w:color w:val="FFFFFF" w:themeColor="background1"/>
                <w:sz w:val="24"/>
                <w:szCs w:val="26"/>
                <w:lang w:eastAsia="hr-HR"/>
              </w:rPr>
            </w:pPr>
            <w:bookmarkStart w:id="10" w:name="_Toc65579932"/>
            <w:bookmarkStart w:id="11" w:name="_Toc96417910"/>
            <w:r w:rsidRPr="00301AED">
              <w:rPr>
                <w:rFonts w:ascii="Arial" w:eastAsia="Times New Roman" w:hAnsi="Arial" w:cs="Arial"/>
                <w:color w:val="FFFFFF" w:themeColor="background1"/>
                <w:sz w:val="24"/>
                <w:szCs w:val="26"/>
                <w:lang w:eastAsia="hr-HR"/>
              </w:rPr>
              <w:lastRenderedPageBreak/>
              <w:t>2.2. Vizija</w:t>
            </w:r>
            <w:bookmarkEnd w:id="10"/>
            <w:bookmarkEnd w:id="11"/>
          </w:p>
        </w:tc>
      </w:tr>
    </w:tbl>
    <w:p w:rsidR="00301AED" w:rsidRPr="00301AED" w:rsidRDefault="00301AED" w:rsidP="00301AE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301AED">
        <w:rPr>
          <w:rFonts w:ascii="Arial" w:eastAsia="Times New Roman" w:hAnsi="Arial" w:cs="Arial"/>
          <w:lang w:eastAsia="hr-HR"/>
        </w:rPr>
        <w:t>Vizija Ministarstva je održavanje takvih uvjeta u društvu gdje će građani biti slobodni, sigurni</w:t>
      </w:r>
      <w:r w:rsidR="005A0AB4">
        <w:rPr>
          <w:rFonts w:ascii="Arial" w:eastAsia="Times New Roman" w:hAnsi="Arial" w:cs="Arial"/>
          <w:lang w:eastAsia="hr-HR"/>
        </w:rPr>
        <w:t xml:space="preserve"> i</w:t>
      </w:r>
      <w:r w:rsidRPr="00301AED">
        <w:rPr>
          <w:rFonts w:ascii="Arial" w:eastAsia="Times New Roman" w:hAnsi="Arial" w:cs="Arial"/>
          <w:lang w:eastAsia="hr-HR"/>
        </w:rPr>
        <w:t xml:space="preserve"> zaštićeni od svih oblika nasilja, nesretnih slučajeva, prirodnih i tehničko-tehnoloških velikih nesreća i katastrofa. </w:t>
      </w:r>
    </w:p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01AED">
        <w:rPr>
          <w:rFonts w:ascii="Arial" w:eastAsia="Times New Roman" w:hAnsi="Arial" w:cs="Arial"/>
          <w:lang w:eastAsia="hr-HR"/>
        </w:rPr>
        <w:t>Redukcijom rizika i trendova negativnih pojava, događaja i njihovih posljedica podignuti će se razina objektivnog stanja sigurnosti i subjektivnog osjećaja sigurnosti građana, a Republika Hrvatska će biti prepoznata kao jedna od najsigurnijih europskih zemalja</w:t>
      </w:r>
      <w:r w:rsidRPr="00301AE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W w:w="0" w:type="auto"/>
        <w:shd w:val="clear" w:color="auto" w:fill="365F91"/>
        <w:tblLook w:val="04A0" w:firstRow="1" w:lastRow="0" w:firstColumn="1" w:lastColumn="0" w:noHBand="0" w:noVBand="1"/>
      </w:tblPr>
      <w:tblGrid>
        <w:gridCol w:w="9070"/>
      </w:tblGrid>
      <w:tr w:rsidR="00301AED" w:rsidRPr="00301AED" w:rsidTr="00AF4B7C">
        <w:trPr>
          <w:trHeight w:val="408"/>
        </w:trPr>
        <w:tc>
          <w:tcPr>
            <w:tcW w:w="9288" w:type="dxa"/>
            <w:shd w:val="clear" w:color="auto" w:fill="365F91"/>
            <w:vAlign w:val="center"/>
            <w:hideMark/>
          </w:tcPr>
          <w:p w:rsidR="00301AED" w:rsidRPr="00301AED" w:rsidRDefault="00301AED" w:rsidP="00301AED">
            <w:pPr>
              <w:keepNext/>
              <w:keepLines/>
              <w:spacing w:before="40" w:after="0" w:line="276" w:lineRule="auto"/>
              <w:jc w:val="center"/>
              <w:outlineLvl w:val="1"/>
              <w:rPr>
                <w:rFonts w:ascii="Arial" w:eastAsia="Times New Roman" w:hAnsi="Arial" w:cs="Arial"/>
                <w:color w:val="FFFFFF" w:themeColor="background1"/>
                <w:sz w:val="24"/>
                <w:szCs w:val="26"/>
                <w:lang w:eastAsia="hr-HR"/>
              </w:rPr>
            </w:pPr>
            <w:bookmarkStart w:id="12" w:name="_Toc65579933"/>
            <w:bookmarkStart w:id="13" w:name="_Toc96417911"/>
            <w:r w:rsidRPr="00301AED">
              <w:rPr>
                <w:rFonts w:ascii="Arial" w:eastAsia="Times New Roman" w:hAnsi="Arial" w:cs="Arial"/>
                <w:color w:val="FFFFFF" w:themeColor="background1"/>
                <w:sz w:val="24"/>
                <w:szCs w:val="26"/>
                <w:lang w:eastAsia="hr-HR"/>
              </w:rPr>
              <w:t>2.3. Misija</w:t>
            </w:r>
            <w:bookmarkEnd w:id="12"/>
            <w:bookmarkEnd w:id="13"/>
          </w:p>
        </w:tc>
      </w:tr>
    </w:tbl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301AED" w:rsidRPr="00301AED" w:rsidRDefault="00301AED" w:rsidP="00301AED">
      <w:pPr>
        <w:spacing w:after="0" w:line="276" w:lineRule="auto"/>
        <w:jc w:val="both"/>
        <w:rPr>
          <w:rFonts w:ascii="Arial" w:eastAsia="Times New Roman" w:hAnsi="Arial" w:cs="Arial"/>
          <w:bCs/>
          <w:lang w:eastAsia="hr-HR"/>
        </w:rPr>
      </w:pPr>
      <w:r w:rsidRPr="00301AED">
        <w:rPr>
          <w:rFonts w:ascii="Arial" w:eastAsia="Times New Roman" w:hAnsi="Arial" w:cs="Arial"/>
          <w:bCs/>
          <w:lang w:eastAsia="hr-HR"/>
        </w:rPr>
        <w:t xml:space="preserve">Misija </w:t>
      </w:r>
      <w:r w:rsidRPr="00301AED">
        <w:rPr>
          <w:rFonts w:ascii="Arial" w:eastAsia="Times New Roman" w:hAnsi="Arial" w:cs="Arial"/>
          <w:lang w:eastAsia="hr-HR"/>
        </w:rPr>
        <w:t xml:space="preserve">Ministarstva je </w:t>
      </w:r>
      <w:r w:rsidRPr="00301AED">
        <w:rPr>
          <w:rFonts w:ascii="Arial" w:eastAsia="Times New Roman" w:hAnsi="Arial" w:cs="Arial"/>
          <w:bCs/>
          <w:lang w:eastAsia="hr-HR"/>
        </w:rPr>
        <w:t xml:space="preserve">zaštita i spašavanje života, osobnog integriteta i imovine građana, očuvanje nepovredivosti državne granice, suzbijanje svih oblika kriminaliteta, održavanje povoljnog stanja javnoga reda i sigurnosti te pružanje usluga građanima koje omogućavaju kvalitetan život i rad te održivi društveni </w:t>
      </w:r>
      <w:r w:rsidRPr="00301AED">
        <w:rPr>
          <w:rFonts w:ascii="Arial" w:eastAsia="Times New Roman" w:hAnsi="Arial" w:cs="Arial"/>
        </w:rPr>
        <w:t xml:space="preserve">razvoj </w:t>
      </w:r>
      <w:r w:rsidRPr="00301AED">
        <w:rPr>
          <w:rFonts w:ascii="Arial" w:eastAsia="Times New Roman" w:hAnsi="Arial" w:cs="Arial"/>
          <w:bCs/>
          <w:lang w:eastAsia="hr-HR"/>
        </w:rPr>
        <w:t>cjelokupne zajednice.</w:t>
      </w:r>
    </w:p>
    <w:p w:rsidR="00301AED" w:rsidRDefault="00301AED" w:rsidP="00301AED">
      <w:pPr>
        <w:keepNext/>
        <w:keepLines/>
        <w:spacing w:before="480" w:after="0" w:line="276" w:lineRule="auto"/>
        <w:outlineLvl w:val="0"/>
        <w:rPr>
          <w:b/>
        </w:rPr>
      </w:pPr>
    </w:p>
    <w:p w:rsidR="00301AED" w:rsidRDefault="00301AED" w:rsidP="00301AED">
      <w:pPr>
        <w:keepNext/>
        <w:keepLines/>
        <w:spacing w:before="480" w:after="0" w:line="276" w:lineRule="auto"/>
        <w:outlineLvl w:val="0"/>
        <w:rPr>
          <w:b/>
        </w:rPr>
      </w:pPr>
    </w:p>
    <w:p w:rsidR="00301AED" w:rsidRDefault="00301AED" w:rsidP="00301AED">
      <w:pPr>
        <w:keepNext/>
        <w:keepLines/>
        <w:spacing w:before="480" w:after="0" w:line="276" w:lineRule="auto"/>
        <w:outlineLvl w:val="0"/>
        <w:rPr>
          <w:b/>
        </w:rPr>
      </w:pPr>
    </w:p>
    <w:p w:rsidR="007E4187" w:rsidRPr="00832105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  <w:r w:rsidRPr="00832105">
        <w:rPr>
          <w:rFonts w:ascii="Arial" w:eastAsia="MS Mincho" w:hAnsi="Arial" w:cs="Arial"/>
          <w:bCs/>
          <w:lang w:eastAsia="ja-JP"/>
        </w:rPr>
        <w:t>.</w:t>
      </w:r>
    </w:p>
    <w:p w:rsidR="007E4187" w:rsidRPr="00832105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7E4187" w:rsidRPr="00832105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7E4187" w:rsidRPr="00832105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7E4187" w:rsidRPr="00832105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312670" w:rsidRDefault="00312670" w:rsidP="007E4187">
      <w:pPr>
        <w:pStyle w:val="Odlomakpopis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lang w:eastAsia="ja-JP"/>
        </w:rPr>
        <w:sectPr w:rsidR="00312670" w:rsidSect="00581FE2"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67"/>
      </w:tblGrid>
      <w:tr w:rsidR="00477C07" w:rsidRPr="0080401F" w:rsidTr="00974236">
        <w:trPr>
          <w:trHeight w:val="288"/>
        </w:trPr>
        <w:tc>
          <w:tcPr>
            <w:tcW w:w="12767" w:type="dxa"/>
            <w:shd w:val="clear" w:color="auto" w:fill="365F91"/>
          </w:tcPr>
          <w:p w:rsidR="00477C07" w:rsidRPr="009E5022" w:rsidRDefault="00301AED" w:rsidP="00301AED">
            <w:pPr>
              <w:pStyle w:val="Naslov2"/>
              <w:jc w:val="center"/>
              <w:outlineLvl w:val="1"/>
              <w:rPr>
                <w:b/>
                <w:sz w:val="22"/>
                <w:szCs w:val="22"/>
              </w:rPr>
            </w:pPr>
            <w:bookmarkStart w:id="14" w:name="_Toc61608703"/>
            <w:bookmarkStart w:id="15" w:name="_Toc64279212"/>
            <w:bookmarkStart w:id="16" w:name="_Toc96417912"/>
            <w:r w:rsidRPr="009E5022">
              <w:rPr>
                <w:b/>
                <w:sz w:val="22"/>
                <w:szCs w:val="22"/>
              </w:rPr>
              <w:lastRenderedPageBreak/>
              <w:t>3.</w:t>
            </w:r>
            <w:r w:rsidR="00477C07" w:rsidRPr="009E5022">
              <w:rPr>
                <w:b/>
                <w:sz w:val="22"/>
                <w:szCs w:val="22"/>
              </w:rPr>
              <w:t xml:space="preserve"> O</w:t>
            </w:r>
            <w:r w:rsidRPr="009E5022">
              <w:rPr>
                <w:b/>
                <w:sz w:val="22"/>
                <w:szCs w:val="22"/>
              </w:rPr>
              <w:t>RGANIZACIJSKA STRUKTURA</w:t>
            </w:r>
            <w:bookmarkEnd w:id="14"/>
            <w:bookmarkEnd w:id="15"/>
            <w:bookmarkEnd w:id="16"/>
          </w:p>
        </w:tc>
      </w:tr>
    </w:tbl>
    <w:p w:rsidR="00974236" w:rsidRDefault="009E5022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noProof/>
          <w:sz w:val="24"/>
          <w:szCs w:val="24"/>
          <w:lang w:eastAsia="hr-HR"/>
        </w:rPr>
      </w:pPr>
      <w:r w:rsidRPr="009E5022">
        <w:rPr>
          <w:rFonts w:ascii="Arial" w:eastAsia="MS Mincho" w:hAnsi="Arial" w:cs="Arial"/>
          <w:bCs/>
          <w:noProof/>
          <w:sz w:val="24"/>
          <w:szCs w:val="24"/>
          <w:lang w:eastAsia="hr-HR"/>
        </w:rPr>
        <w:drawing>
          <wp:inline distT="0" distB="0" distL="0" distR="0">
            <wp:extent cx="8891270" cy="6026053"/>
            <wp:effectExtent l="0" t="0" r="5080" b="0"/>
            <wp:docPr id="14" name="Slika 14" descr="C:\Users\mhozjan\Desktop\Ustroj MUP RH Org Shema -13-01-20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hozjan\Desktop\Ustroj MUP RH Org Shema -13-01-2022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02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36" w:rsidRPr="00CB034D" w:rsidRDefault="00E75199" w:rsidP="00974236">
      <w:pPr>
        <w:pStyle w:val="Naslov2"/>
        <w:jc w:val="both"/>
        <w:rPr>
          <w:b/>
        </w:rPr>
      </w:pPr>
      <w:bookmarkStart w:id="17" w:name="_Toc96350301"/>
      <w:bookmarkStart w:id="18" w:name="_Toc96417913"/>
      <w:r w:rsidRPr="00E75199">
        <w:rPr>
          <w:b/>
          <w:noProof/>
          <w:lang w:eastAsia="hr-HR"/>
        </w:rPr>
        <w:lastRenderedPageBreak/>
        <w:drawing>
          <wp:inline distT="0" distB="0" distL="0" distR="0">
            <wp:extent cx="8891270" cy="4753931"/>
            <wp:effectExtent l="0" t="0" r="5080" b="8890"/>
            <wp:docPr id="15" name="Slika 15" descr="C:\Users\mhozjan\Desktop\Ustroj MUP RH - RAVNATELJSTVO POLICIJE-13-01-20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hozjan\Desktop\Ustroj MUP RH - RAVNATELJSTVO POLICIJE-13-01-2022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5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236" w:rsidRPr="00CB034D">
        <w:rPr>
          <w:b/>
        </w:rPr>
        <w:t>3. ORGANIZACIJSKA STRUKTURA</w:t>
      </w:r>
      <w:bookmarkEnd w:id="17"/>
      <w:bookmarkEnd w:id="18"/>
      <w:r w:rsidRPr="00E75199">
        <w:rPr>
          <w:b/>
          <w:noProof/>
          <w:lang w:eastAsia="hr-HR"/>
        </w:rPr>
        <w:lastRenderedPageBreak/>
        <w:drawing>
          <wp:inline distT="0" distB="0" distL="0" distR="0">
            <wp:extent cx="8891270" cy="6126757"/>
            <wp:effectExtent l="0" t="0" r="5080" b="7620"/>
            <wp:docPr id="16" name="Slika 16" descr="C:\Users\mhozjan\Desktop\Ustroj MUP RH - RCZ-13-01-202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hozjan\Desktop\Ustroj MUP RH - RCZ-13-01-2022 (1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12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36" w:rsidRDefault="00974236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noProof/>
          <w:sz w:val="24"/>
          <w:szCs w:val="24"/>
          <w:lang w:eastAsia="hr-HR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974236" w:rsidRDefault="00974236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312670" w:rsidRDefault="00312670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  <w:sectPr w:rsidR="00312670" w:rsidSect="009E5022">
          <w:pgSz w:w="16838" w:h="11906" w:orient="landscape"/>
          <w:pgMar w:top="567" w:right="1418" w:bottom="907" w:left="1418" w:header="709" w:footer="709" w:gutter="0"/>
          <w:cols w:space="708"/>
          <w:docGrid w:linePitch="360"/>
        </w:sectPr>
      </w:pPr>
    </w:p>
    <w:p w:rsidR="007E4187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Cs/>
          <w:sz w:val="24"/>
          <w:szCs w:val="24"/>
          <w:lang w:eastAsia="ja-JP"/>
        </w:rPr>
        <w:lastRenderedPageBreak/>
        <w:t>Godišnji plan rada Ministarstva je podložan promjenama tijekom godine ukoliko se usvoje akt</w:t>
      </w:r>
      <w:r w:rsidR="008E4C65">
        <w:rPr>
          <w:rFonts w:ascii="Arial" w:eastAsia="MS Mincho" w:hAnsi="Arial" w:cs="Arial"/>
          <w:bCs/>
          <w:sz w:val="24"/>
          <w:szCs w:val="24"/>
          <w:lang w:eastAsia="ja-JP"/>
        </w:rPr>
        <w:t>i</w:t>
      </w:r>
      <w:r>
        <w:rPr>
          <w:rFonts w:ascii="Arial" w:eastAsia="MS Mincho" w:hAnsi="Arial" w:cs="Arial"/>
          <w:bCs/>
          <w:sz w:val="24"/>
          <w:szCs w:val="24"/>
          <w:lang w:eastAsia="ja-JP"/>
        </w:rPr>
        <w:t xml:space="preserve"> strateškog planiranja, a odnose se na rad Ministarstva.</w:t>
      </w:r>
    </w:p>
    <w:p w:rsidR="007E4187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Default="007E4187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51E9A" w:rsidRPr="00383C0B" w:rsidTr="006F5A9F">
        <w:tc>
          <w:tcPr>
            <w:tcW w:w="9606" w:type="dxa"/>
            <w:shd w:val="clear" w:color="auto" w:fill="auto"/>
          </w:tcPr>
          <w:p w:rsidR="00051E9A" w:rsidRPr="00383C0B" w:rsidRDefault="00051E9A" w:rsidP="006F5A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19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001-02/21-02/13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051E9A" w:rsidRPr="00383C0B" w:rsidTr="006F5A9F">
        <w:tc>
          <w:tcPr>
            <w:tcW w:w="9606" w:type="dxa"/>
            <w:shd w:val="clear" w:color="auto" w:fill="auto"/>
          </w:tcPr>
          <w:p w:rsidR="00051E9A" w:rsidRPr="00383C0B" w:rsidRDefault="00051E9A" w:rsidP="006F5A9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20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511-01-142-22-27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</w:p>
        </w:tc>
      </w:tr>
      <w:tr w:rsidR="00051E9A" w:rsidRPr="00383C0B" w:rsidTr="006F5A9F">
        <w:tc>
          <w:tcPr>
            <w:tcW w:w="9606" w:type="dxa"/>
            <w:shd w:val="clear" w:color="auto" w:fill="auto"/>
          </w:tcPr>
          <w:p w:rsidR="00051E9A" w:rsidRPr="00383C0B" w:rsidRDefault="00051E9A" w:rsidP="00051E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991" w:rsidRDefault="00202991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536D73" w:rsidRDefault="00536D73" w:rsidP="007E4187">
      <w:pPr>
        <w:tabs>
          <w:tab w:val="left" w:pos="1134"/>
        </w:tabs>
        <w:spacing w:after="0" w:line="360" w:lineRule="auto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8F7F18" w:rsidRPr="000A56F1" w:rsidRDefault="000A56F1" w:rsidP="000A56F1">
      <w:pPr>
        <w:tabs>
          <w:tab w:val="left" w:pos="1134"/>
        </w:tabs>
        <w:spacing w:after="0" w:line="360" w:lineRule="auto"/>
        <w:jc w:val="right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0A56F1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POTPREDSJEDNIK VLADE I MINISTAR </w:t>
      </w:r>
    </w:p>
    <w:p w:rsidR="000A56F1" w:rsidRPr="000A56F1" w:rsidRDefault="000A56F1" w:rsidP="000A56F1">
      <w:pPr>
        <w:tabs>
          <w:tab w:val="left" w:pos="1134"/>
        </w:tabs>
        <w:spacing w:after="0" w:line="360" w:lineRule="auto"/>
        <w:jc w:val="right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 w:rsidRPr="000A56F1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dr. </w:t>
      </w:r>
      <w:proofErr w:type="spellStart"/>
      <w:r w:rsidRPr="000A56F1">
        <w:rPr>
          <w:rFonts w:ascii="Arial" w:eastAsia="MS Mincho" w:hAnsi="Arial" w:cs="Arial"/>
          <w:b/>
          <w:bCs/>
          <w:sz w:val="24"/>
          <w:szCs w:val="24"/>
          <w:lang w:eastAsia="ja-JP"/>
        </w:rPr>
        <w:t>sc</w:t>
      </w:r>
      <w:proofErr w:type="spellEnd"/>
      <w:r w:rsidRPr="000A56F1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. Davor Božinović </w:t>
      </w:r>
    </w:p>
    <w:p w:rsidR="000A56F1" w:rsidRDefault="000A56F1" w:rsidP="000A56F1">
      <w:pPr>
        <w:tabs>
          <w:tab w:val="left" w:pos="1134"/>
        </w:tabs>
        <w:spacing w:after="0" w:line="360" w:lineRule="auto"/>
        <w:jc w:val="right"/>
        <w:rPr>
          <w:rFonts w:ascii="Arial" w:eastAsia="MS Mincho" w:hAnsi="Arial" w:cs="Arial"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Cs/>
          <w:sz w:val="24"/>
          <w:szCs w:val="24"/>
          <w:lang w:eastAsia="ja-JP"/>
        </w:rPr>
        <w:t xml:space="preserve">v.r. </w:t>
      </w:r>
    </w:p>
    <w:p w:rsidR="00536D73" w:rsidRDefault="00536D73" w:rsidP="008F7F18">
      <w:pPr>
        <w:tabs>
          <w:tab w:val="left" w:pos="1134"/>
        </w:tabs>
        <w:spacing w:after="0" w:line="360" w:lineRule="auto"/>
        <w:ind w:left="4248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</w:p>
    <w:p w:rsidR="007E4187" w:rsidRPr="008F7F18" w:rsidRDefault="007E4187" w:rsidP="008F7F18">
      <w:pPr>
        <w:tabs>
          <w:tab w:val="left" w:pos="1134"/>
        </w:tabs>
        <w:spacing w:after="0" w:line="360" w:lineRule="auto"/>
        <w:ind w:left="4248"/>
        <w:jc w:val="both"/>
        <w:rPr>
          <w:rFonts w:ascii="Arial" w:eastAsia="MS Mincho" w:hAnsi="Arial" w:cs="Arial"/>
          <w:bCs/>
          <w:sz w:val="24"/>
          <w:szCs w:val="24"/>
          <w:lang w:eastAsia="ja-JP"/>
        </w:rPr>
      </w:pPr>
      <w:bookmarkStart w:id="21" w:name="_GoBack"/>
      <w:bookmarkEnd w:id="21"/>
      <w:r>
        <w:rPr>
          <w:rFonts w:ascii="Arial" w:eastAsia="MS Mincho" w:hAnsi="Arial" w:cs="Arial"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Cs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bCs/>
          <w:sz w:val="24"/>
          <w:szCs w:val="24"/>
          <w:lang w:eastAsia="ja-JP"/>
        </w:rPr>
        <w:tab/>
      </w:r>
      <w:r w:rsidRPr="001461D3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         </w:t>
      </w:r>
    </w:p>
    <w:p w:rsidR="007E4187" w:rsidRPr="001461D3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</w:p>
    <w:p w:rsidR="007E4187" w:rsidRPr="00AA2E4E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lang w:eastAsia="ja-JP"/>
        </w:rPr>
      </w:pPr>
      <w:r w:rsidRPr="00AA2E4E">
        <w:rPr>
          <w:rFonts w:ascii="Arial" w:eastAsia="MS Mincho" w:hAnsi="Arial" w:cs="Arial"/>
          <w:bCs/>
          <w:lang w:eastAsia="ja-JP"/>
        </w:rPr>
        <w:t>PRILOG: Tablica</w:t>
      </w:r>
    </w:p>
    <w:p w:rsidR="007E4187" w:rsidRPr="00AA2E4E" w:rsidRDefault="007E4187" w:rsidP="007E4187">
      <w:pPr>
        <w:tabs>
          <w:tab w:val="left" w:pos="1134"/>
        </w:tabs>
        <w:spacing w:after="0" w:line="240" w:lineRule="auto"/>
        <w:jc w:val="both"/>
        <w:rPr>
          <w:rFonts w:ascii="Arial" w:eastAsia="MS Mincho" w:hAnsi="Arial" w:cs="Arial"/>
          <w:bCs/>
          <w:lang w:eastAsia="ja-JP"/>
        </w:rPr>
      </w:pPr>
    </w:p>
    <w:p w:rsidR="000D620F" w:rsidRDefault="000D620F"/>
    <w:sectPr w:rsidR="000D620F" w:rsidSect="003126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FC" w:rsidRDefault="00DD35FC" w:rsidP="00312670">
      <w:pPr>
        <w:spacing w:after="0" w:line="240" w:lineRule="auto"/>
      </w:pPr>
      <w:r>
        <w:separator/>
      </w:r>
    </w:p>
  </w:endnote>
  <w:endnote w:type="continuationSeparator" w:id="0">
    <w:p w:rsidR="00DD35FC" w:rsidRDefault="00DD35FC" w:rsidP="0031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E1" w:rsidRDefault="00AE38E1" w:rsidP="007C5586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3F8" w:rsidRDefault="00DB23F8">
    <w:pPr>
      <w:pStyle w:val="Podnoje"/>
      <w:jc w:val="right"/>
    </w:pPr>
  </w:p>
  <w:p w:rsidR="005F5D60" w:rsidRDefault="005F5D6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949597"/>
      <w:docPartObj>
        <w:docPartGallery w:val="Page Numbers (Bottom of Page)"/>
        <w:docPartUnique/>
      </w:docPartObj>
    </w:sdtPr>
    <w:sdtEndPr/>
    <w:sdtContent>
      <w:p w:rsidR="00581FE2" w:rsidRDefault="00581F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D73">
          <w:rPr>
            <w:noProof/>
          </w:rPr>
          <w:t>12</w:t>
        </w:r>
        <w:r>
          <w:fldChar w:fldCharType="end"/>
        </w:r>
      </w:p>
    </w:sdtContent>
  </w:sdt>
  <w:p w:rsidR="00581FE2" w:rsidRDefault="00581FE2" w:rsidP="007C5586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524606"/>
      <w:docPartObj>
        <w:docPartGallery w:val="Page Numbers (Bottom of Page)"/>
        <w:docPartUnique/>
      </w:docPartObj>
    </w:sdtPr>
    <w:sdtEndPr/>
    <w:sdtContent>
      <w:p w:rsidR="00581FE2" w:rsidRDefault="00581F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D73">
          <w:rPr>
            <w:noProof/>
          </w:rPr>
          <w:t>1</w:t>
        </w:r>
        <w:r>
          <w:fldChar w:fldCharType="end"/>
        </w:r>
      </w:p>
    </w:sdtContent>
  </w:sdt>
  <w:p w:rsidR="00581FE2" w:rsidRDefault="00581F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FC" w:rsidRDefault="00DD35FC" w:rsidP="00312670">
      <w:pPr>
        <w:spacing w:after="0" w:line="240" w:lineRule="auto"/>
      </w:pPr>
      <w:r>
        <w:separator/>
      </w:r>
    </w:p>
  </w:footnote>
  <w:footnote w:type="continuationSeparator" w:id="0">
    <w:p w:rsidR="00DD35FC" w:rsidRDefault="00DD35FC" w:rsidP="00312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47762"/>
    <w:multiLevelType w:val="hybridMultilevel"/>
    <w:tmpl w:val="7FDA40BC"/>
    <w:lvl w:ilvl="0" w:tplc="341EF264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637E3"/>
    <w:multiLevelType w:val="hybridMultilevel"/>
    <w:tmpl w:val="2F0EB5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A3A6F"/>
    <w:multiLevelType w:val="hybridMultilevel"/>
    <w:tmpl w:val="CAD2784C"/>
    <w:lvl w:ilvl="0" w:tplc="9740E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7310DE"/>
    <w:multiLevelType w:val="hybridMultilevel"/>
    <w:tmpl w:val="112AD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C01AC"/>
    <w:multiLevelType w:val="multilevel"/>
    <w:tmpl w:val="A83A415A"/>
    <w:lvl w:ilvl="0">
      <w:start w:val="1"/>
      <w:numFmt w:val="decimal"/>
      <w:pStyle w:val="Naslov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87"/>
    <w:rsid w:val="00051E9A"/>
    <w:rsid w:val="000A3CB5"/>
    <w:rsid w:val="000A56F1"/>
    <w:rsid w:val="000B07BF"/>
    <w:rsid w:val="000D620F"/>
    <w:rsid w:val="000E2864"/>
    <w:rsid w:val="000F6C65"/>
    <w:rsid w:val="00146E18"/>
    <w:rsid w:val="00157E07"/>
    <w:rsid w:val="001F1636"/>
    <w:rsid w:val="00202991"/>
    <w:rsid w:val="00220937"/>
    <w:rsid w:val="00235167"/>
    <w:rsid w:val="00261BCE"/>
    <w:rsid w:val="00281596"/>
    <w:rsid w:val="002B60F4"/>
    <w:rsid w:val="00301AED"/>
    <w:rsid w:val="00312670"/>
    <w:rsid w:val="0031283A"/>
    <w:rsid w:val="00325132"/>
    <w:rsid w:val="00355B27"/>
    <w:rsid w:val="003728F4"/>
    <w:rsid w:val="004264DA"/>
    <w:rsid w:val="00432A65"/>
    <w:rsid w:val="00466EBB"/>
    <w:rsid w:val="00477C07"/>
    <w:rsid w:val="004F18D5"/>
    <w:rsid w:val="00504F45"/>
    <w:rsid w:val="00506048"/>
    <w:rsid w:val="005166EC"/>
    <w:rsid w:val="00527084"/>
    <w:rsid w:val="00536D73"/>
    <w:rsid w:val="005372C6"/>
    <w:rsid w:val="00566A0D"/>
    <w:rsid w:val="00581FE2"/>
    <w:rsid w:val="00585756"/>
    <w:rsid w:val="005A0AB4"/>
    <w:rsid w:val="005F5D60"/>
    <w:rsid w:val="00645898"/>
    <w:rsid w:val="006B069B"/>
    <w:rsid w:val="00740E5E"/>
    <w:rsid w:val="00762223"/>
    <w:rsid w:val="0078736B"/>
    <w:rsid w:val="007C5586"/>
    <w:rsid w:val="007E4187"/>
    <w:rsid w:val="008449D1"/>
    <w:rsid w:val="008B21C2"/>
    <w:rsid w:val="008D354E"/>
    <w:rsid w:val="008E4C65"/>
    <w:rsid w:val="008F7F18"/>
    <w:rsid w:val="00910951"/>
    <w:rsid w:val="0091631C"/>
    <w:rsid w:val="0092404B"/>
    <w:rsid w:val="00934D68"/>
    <w:rsid w:val="00974236"/>
    <w:rsid w:val="009A00FB"/>
    <w:rsid w:val="009A7F78"/>
    <w:rsid w:val="009E5022"/>
    <w:rsid w:val="009F5638"/>
    <w:rsid w:val="00A35BAA"/>
    <w:rsid w:val="00A4579A"/>
    <w:rsid w:val="00AD59E1"/>
    <w:rsid w:val="00AE38E1"/>
    <w:rsid w:val="00AF41E5"/>
    <w:rsid w:val="00B57F59"/>
    <w:rsid w:val="00B7101B"/>
    <w:rsid w:val="00BB78F5"/>
    <w:rsid w:val="00BD616F"/>
    <w:rsid w:val="00BF6137"/>
    <w:rsid w:val="00C03A79"/>
    <w:rsid w:val="00C63687"/>
    <w:rsid w:val="00C82378"/>
    <w:rsid w:val="00CB034D"/>
    <w:rsid w:val="00CC31C1"/>
    <w:rsid w:val="00CF00A5"/>
    <w:rsid w:val="00D138F7"/>
    <w:rsid w:val="00DA3B19"/>
    <w:rsid w:val="00DB23F8"/>
    <w:rsid w:val="00DD1D3C"/>
    <w:rsid w:val="00DD35FC"/>
    <w:rsid w:val="00DD3CFC"/>
    <w:rsid w:val="00DF68E9"/>
    <w:rsid w:val="00E50255"/>
    <w:rsid w:val="00E75199"/>
    <w:rsid w:val="00EE0EE4"/>
    <w:rsid w:val="00F254EC"/>
    <w:rsid w:val="00F913CE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7058"/>
  <w15:chartTrackingRefBased/>
  <w15:docId w15:val="{A529196D-AA11-4278-814F-DD5DB9F3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187"/>
  </w:style>
  <w:style w:type="paragraph" w:styleId="Naslov1">
    <w:name w:val="heading 1"/>
    <w:basedOn w:val="Normal"/>
    <w:next w:val="Normal"/>
    <w:link w:val="Naslov1Char"/>
    <w:uiPriority w:val="9"/>
    <w:qFormat/>
    <w:rsid w:val="00E50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aliases w:val="Naslov PP2"/>
    <w:basedOn w:val="Normal"/>
    <w:next w:val="Normal"/>
    <w:link w:val="Naslov2Char"/>
    <w:uiPriority w:val="9"/>
    <w:unhideWhenUsed/>
    <w:qFormat/>
    <w:rsid w:val="00477C07"/>
    <w:pPr>
      <w:keepNext/>
      <w:keepLines/>
      <w:spacing w:before="40" w:after="0"/>
      <w:outlineLvl w:val="1"/>
    </w:pPr>
    <w:rPr>
      <w:rFonts w:ascii="Arial Black" w:eastAsiaTheme="majorEastAsia" w:hAnsi="Arial Black" w:cstheme="majorBidi"/>
      <w:color w:val="FFFFFF" w:themeColor="background1"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418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1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2670"/>
  </w:style>
  <w:style w:type="paragraph" w:styleId="Podnoje">
    <w:name w:val="footer"/>
    <w:basedOn w:val="Normal"/>
    <w:link w:val="PodnojeChar"/>
    <w:uiPriority w:val="99"/>
    <w:unhideWhenUsed/>
    <w:rsid w:val="00312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2670"/>
  </w:style>
  <w:style w:type="character" w:customStyle="1" w:styleId="Naslov2Char">
    <w:name w:val="Naslov 2 Char"/>
    <w:aliases w:val="Naslov PP2 Char"/>
    <w:basedOn w:val="Zadanifontodlomka"/>
    <w:link w:val="Naslov2"/>
    <w:uiPriority w:val="9"/>
    <w:rsid w:val="00477C07"/>
    <w:rPr>
      <w:rFonts w:ascii="Arial Black" w:eastAsiaTheme="majorEastAsia" w:hAnsi="Arial Black" w:cstheme="majorBidi"/>
      <w:color w:val="FFFFFF" w:themeColor="background1"/>
      <w:sz w:val="24"/>
      <w:szCs w:val="26"/>
    </w:rPr>
  </w:style>
  <w:style w:type="table" w:styleId="Reetkatablice">
    <w:name w:val="Table Grid"/>
    <w:basedOn w:val="Obinatablica"/>
    <w:uiPriority w:val="39"/>
    <w:rsid w:val="00477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50255"/>
    <w:rPr>
      <w:color w:val="0563C1" w:themeColor="hyperlink"/>
      <w:u w:val="single"/>
    </w:rPr>
  </w:style>
  <w:style w:type="paragraph" w:styleId="Sadraj2">
    <w:name w:val="toc 2"/>
    <w:basedOn w:val="Normal"/>
    <w:next w:val="Normal"/>
    <w:autoRedefine/>
    <w:uiPriority w:val="39"/>
    <w:unhideWhenUsed/>
    <w:rsid w:val="00E50255"/>
    <w:pPr>
      <w:spacing w:after="100" w:line="256" w:lineRule="auto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E50255"/>
    <w:pPr>
      <w:spacing w:after="100" w:line="256" w:lineRule="auto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E50255"/>
    <w:pPr>
      <w:tabs>
        <w:tab w:val="right" w:leader="dot" w:pos="9062"/>
      </w:tabs>
      <w:spacing w:after="100" w:line="276" w:lineRule="auto"/>
      <w:ind w:left="660"/>
      <w:jc w:val="both"/>
    </w:pPr>
  </w:style>
  <w:style w:type="character" w:customStyle="1" w:styleId="NaslovChar">
    <w:name w:val="Naslov Char"/>
    <w:aliases w:val="PP1 Char"/>
    <w:basedOn w:val="Zadanifontodlomka"/>
    <w:link w:val="Naslov"/>
    <w:uiPriority w:val="10"/>
    <w:locked/>
    <w:rsid w:val="00E50255"/>
    <w:rPr>
      <w:rFonts w:ascii="Arial" w:eastAsia="Times New Roman" w:hAnsi="Arial" w:cs="Arial"/>
      <w:b/>
      <w:bCs/>
      <w:color w:val="F2F2F2" w:themeColor="background1" w:themeShade="F2"/>
      <w:sz w:val="24"/>
      <w:szCs w:val="24"/>
      <w:lang w:eastAsia="hr-HR"/>
    </w:rPr>
  </w:style>
  <w:style w:type="paragraph" w:styleId="Naslov">
    <w:name w:val="Title"/>
    <w:aliases w:val="PP1"/>
    <w:basedOn w:val="Odlomakpopisa"/>
    <w:next w:val="Normal"/>
    <w:link w:val="NaslovChar"/>
    <w:uiPriority w:val="10"/>
    <w:qFormat/>
    <w:rsid w:val="00E50255"/>
    <w:pPr>
      <w:keepNext/>
      <w:numPr>
        <w:numId w:val="2"/>
      </w:numPr>
      <w:spacing w:after="0" w:line="276" w:lineRule="auto"/>
      <w:outlineLvl w:val="1"/>
    </w:pPr>
    <w:rPr>
      <w:rFonts w:ascii="Arial" w:eastAsia="Times New Roman" w:hAnsi="Arial" w:cs="Arial"/>
      <w:b/>
      <w:bCs/>
      <w:color w:val="F2F2F2" w:themeColor="background1" w:themeShade="F2"/>
      <w:sz w:val="24"/>
      <w:szCs w:val="24"/>
      <w:lang w:eastAsia="hr-HR"/>
    </w:rPr>
  </w:style>
  <w:style w:type="character" w:customStyle="1" w:styleId="NaslovChar1">
    <w:name w:val="Naslov Char1"/>
    <w:basedOn w:val="Zadanifontodlomka"/>
    <w:uiPriority w:val="10"/>
    <w:rsid w:val="00E5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E502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E50255"/>
    <w:pPr>
      <w:spacing w:line="256" w:lineRule="auto"/>
      <w:outlineLvl w:val="9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55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DD1D3C"/>
    <w:pPr>
      <w:spacing w:after="100"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5586"/>
    <w:rPr>
      <w:rFonts w:ascii="Segoe UI" w:hAnsi="Segoe UI" w:cs="Segoe UI"/>
      <w:sz w:val="18"/>
      <w:szCs w:val="18"/>
    </w:rPr>
  </w:style>
  <w:style w:type="paragraph" w:customStyle="1" w:styleId="box465012">
    <w:name w:val="box_465012"/>
    <w:basedOn w:val="Normal"/>
    <w:rsid w:val="009F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1CE1E-7823-4A65-8B8B-FC53855E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Hozjan Marina</dc:creator>
  <cp:keywords/>
  <dc:description/>
  <cp:lastModifiedBy>Mandić Marina</cp:lastModifiedBy>
  <cp:revision>2</cp:revision>
  <cp:lastPrinted>2022-02-25T11:16:00Z</cp:lastPrinted>
  <dcterms:created xsi:type="dcterms:W3CDTF">2022-03-02T10:14:00Z</dcterms:created>
  <dcterms:modified xsi:type="dcterms:W3CDTF">2022-03-02T10:14:00Z</dcterms:modified>
</cp:coreProperties>
</file>